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Abordaje lateral del fémur proximal y de la diáfisis</w:t>
      </w:r>
    </w:p>
    <w:p>
      <w:r>
        <w:rPr>
          <w:sz w:val="24"/>
        </w:rPr>
        <w:t>Abordajes · Abordajes pelvis cadera · Nivel R1-R3</w:t>
      </w:r>
    </w:p>
    <w:p>
      <w:r>
        <w:t>Actualizado: 2026-10-12</w:t>
      </w:r>
    </w:p>
    <w:p>
      <w:r>
        <w:rPr>
          <w:color w:val="5A6469"/>
          <w:sz w:val="20"/>
        </w:rPr>
        <w:t>Verificación independiente: Verificador independiente Claude Opus 5.5 (editor medico + revision de derechos de autor) · 2026-10-12 · 747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w:t>
      </w:r>
    </w:p>
    <w:p>
      <w:pPr>
        <w:spacing w:after="60"/>
        <w:ind w:left="510" w:hanging="340"/>
      </w:pPr>
      <w:r>
        <w:rPr>
          <w:b/>
        </w:rPr>
        <w:t xml:space="preserve">5. </w:t>
      </w:r>
      <w:r>
        <w:rPr/>
        <w:t>Anatomía quirúrgica: capas, perforantes y estructuras en riesgo</w:t>
      </w:r>
    </w:p>
    <w:p>
      <w:pPr>
        <w:spacing w:after="60"/>
        <w:ind w:left="510" w:hanging="340"/>
      </w:pPr>
      <w:r>
        <w:rPr>
          <w:b/>
        </w:rPr>
        <w:t xml:space="preserve">6. </w:t>
      </w:r>
      <w:r>
        <w:rPr/>
        <w:t>Variantes y extensiones</w:t>
      </w:r>
    </w:p>
    <w:p>
      <w:pPr>
        <w:spacing w:after="60"/>
        <w:ind w:left="510" w:hanging="340"/>
      </w:pPr>
      <w:r>
        <w:rPr>
          <w:b/>
        </w:rPr>
        <w:t xml:space="preserve">7. </w:t>
      </w:r>
      <w:r>
        <w:rPr/>
        <w:t>Biología de la entrada: qué le cuesta al hueso</w:t>
      </w:r>
    </w:p>
    <w:p>
      <w:pPr>
        <w:spacing w:after="60"/>
        <w:ind w:left="510" w:hanging="340"/>
      </w:pPr>
      <w:r>
        <w:rPr>
          <w:b/>
        </w:rPr>
        <w:t xml:space="preserve">8. </w:t>
      </w:r>
      <w:r>
        <w:rPr/>
        <w:t>Algoritmo: elegir la ventana lateral y el implante</w:t>
      </w:r>
    </w:p>
    <w:p>
      <w:pPr>
        <w:spacing w:after="60"/>
        <w:ind w:left="510" w:hanging="340"/>
      </w:pPr>
      <w:r>
        <w:rPr>
          <w:b/>
        </w:rPr>
        <w:t xml:space="preserve">9. </w:t>
      </w:r>
      <w:r>
        <w:rPr/>
        <w:t>Indicaciones</w:t>
      </w:r>
    </w:p>
    <w:p>
      <w:pPr>
        <w:spacing w:after="60"/>
        <w:ind w:left="510" w:hanging="340"/>
      </w:pPr>
      <w:r>
        <w:rPr>
          <w:b/>
        </w:rPr>
        <w:t xml:space="preserve">10. </w:t>
      </w:r>
      <w:r>
        <w:rPr/>
        <w:t>Técnica paso a paso</w:t>
      </w:r>
    </w:p>
    <w:p>
      <w:pPr>
        <w:spacing w:after="60"/>
        <w:ind w:left="510" w:hanging="340"/>
      </w:pPr>
      <w:r>
        <w:rPr>
          <w:b/>
        </w:rPr>
        <w:t xml:space="preserve">11. </w:t>
      </w:r>
      <w:r>
        <w:rPr/>
        <w:t>Comparaciones: MIPO frente a abierto, placa frente a clavo, tornillo deslizante frente a clavo</w:t>
      </w:r>
    </w:p>
    <w:p>
      <w:pPr>
        <w:spacing w:after="60"/>
        <w:ind w:left="510" w:hanging="340"/>
      </w:pPr>
      <w:r>
        <w:rPr>
          <w:b/>
        </w:rPr>
        <w:t xml:space="preserve">12. </w:t>
      </w:r>
      <w:r>
        <w:rPr/>
        <w:t>Complicaciones</w:t>
      </w:r>
    </w:p>
    <w:p>
      <w:pPr>
        <w:spacing w:after="60"/>
        <w:ind w:left="510" w:hanging="340"/>
      </w:pPr>
      <w:r>
        <w:rPr>
          <w:b/>
        </w:rPr>
        <w:t xml:space="preserve">13. </w:t>
      </w:r>
      <w:r>
        <w:rPr/>
        <w:t>Pronóstico</w:t>
      </w:r>
    </w:p>
    <w:p>
      <w:pPr>
        <w:spacing w:after="60"/>
        <w:ind w:left="510" w:hanging="340"/>
      </w:pPr>
      <w:r>
        <w:rPr>
          <w:b/>
        </w:rPr>
        <w:t xml:space="preserve">14. </w:t>
      </w:r>
      <w:r>
        <w:rPr/>
        <w:t>Rehabilitación</w:t>
      </w:r>
    </w:p>
    <w:p>
      <w:pPr>
        <w:spacing w:after="60"/>
        <w:ind w:left="510" w:hanging="340"/>
      </w:pPr>
      <w:r>
        <w:rPr>
          <w:b/>
        </w:rPr>
        <w:t xml:space="preserve">15. </w:t>
      </w:r>
      <w:r>
        <w:rPr/>
        <w:t>Guías vigentes</w:t>
      </w:r>
    </w:p>
    <w:p>
      <w:pPr>
        <w:spacing w:after="60"/>
        <w:ind w:left="510" w:hanging="340"/>
      </w:pPr>
      <w:r>
        <w:rPr>
          <w:b/>
        </w:rPr>
        <w:t xml:space="preserve">16. </w:t>
      </w:r>
      <w:r>
        <w:rPr/>
        <w:t>Perlas y trampas</w:t>
      </w:r>
    </w:p>
    <w:p>
      <w:pPr>
        <w:spacing w:after="60"/>
        <w:ind w:left="510" w:hanging="340"/>
      </w:pPr>
      <w:r>
        <w:rPr>
          <w:b/>
        </w:rPr>
        <w:t xml:space="preserve">17. </w:t>
      </w:r>
      <w:r>
        <w:rPr/>
        <w:t>Preguntas de autoevaluación</w:t>
      </w:r>
    </w:p>
    <w:p>
      <w:pPr>
        <w:spacing w:after="60"/>
        <w:ind w:left="510" w:hanging="340"/>
      </w:pPr>
      <w:r>
        <w:rPr>
          <w:b/>
        </w:rPr>
        <w:t xml:space="preserve">18. </w:t>
      </w:r>
      <w:r>
        <w:rPr/>
        <w:t>Lectura recomendada</w:t>
      </w:r>
    </w:p>
    <w:p>
      <w:pPr>
        <w:spacing w:after="60"/>
        <w:ind w:left="510" w:hanging="340"/>
      </w:pPr>
      <w:r>
        <w:rPr>
          <w:b/>
        </w:rPr>
        <w:t xml:space="preserve">19. </w:t>
      </w:r>
      <w:r>
        <w:rPr/>
        <w:t>Palabras clave</w:t>
      </w:r>
    </w:p>
    <w:p>
      <w:pPr>
        <w:spacing w:after="60"/>
        <w:ind w:left="510" w:hanging="340"/>
      </w:pPr>
      <w:r>
        <w:rPr>
          <w:b/>
        </w:rPr>
        <w:t xml:space="preserve">20. </w:t>
      </w:r>
      <w:r>
        <w:rPr/>
        <w:t>Para recordar</w:t>
      </w:r>
    </w:p>
    <w:p>
      <w:pPr>
        <w:spacing w:after="60"/>
        <w:ind w:left="510" w:hanging="340"/>
      </w:pPr>
      <w:r>
        <w:rPr>
          <w:b/>
        </w:rPr>
        <w:t xml:space="preserve">21. </w:t>
      </w:r>
      <w:r>
        <w:rPr/>
        <w:t>Caso de staff</w:t>
      </w:r>
    </w:p>
    <w:p>
      <w:pPr>
        <w:spacing w:after="60"/>
        <w:ind w:left="510" w:hanging="340"/>
      </w:pPr>
      <w:r>
        <w:rPr>
          <w:b/>
        </w:rPr>
        <w:t xml:space="preserve">22. </w:t>
      </w:r>
      <w:r>
        <w:rPr/>
        <w:t>Referencias completas</w:t>
      </w:r>
    </w:p>
    <w:p>
      <w:pPr>
        <w:pStyle w:val="Heading1"/>
      </w:pPr>
      <w:r>
        <w:t>En 30 segundos</w:t>
      </w:r>
    </w:p>
    <w:p>
      <w:pPr>
        <w:pStyle w:val="ListBullet"/>
      </w:pPr>
      <w:r>
        <w:rPr/>
        <w:t>Es la entrada lateral al fémur para colocar placas y tornillos deslizantes: se abre la fascia lata, se levanta el vasto lateral del tabique intermuscular y se llega al hueso sin exponer los grandes vasos y nervios, que van por dentro y por detrás [r1].</w:t>
      </w:r>
    </w:p>
    <w:p>
      <w:pPr>
        <w:pStyle w:val="ListBullet"/>
      </w:pPr>
      <w:r>
        <w:rPr/>
        <w:t>El peligro real son las arterias perforantes, no un nervio: en 200 piernas disecadas había de 2 a 7 por pierna y cruzaban junto al hueso a todos los niveles entre 14,0 y 36,5 cm bajo la espina ilíaca anterosuperior, sin zona segura [r2].</w:t>
      </w:r>
    </w:p>
    <w:p>
      <w:pPr>
        <w:pStyle w:val="ListBullet"/>
      </w:pPr>
      <w:r>
        <w:rPr/>
        <w:t>Abierto o mínimamente invasivo es cambiar lo que ves por lo que preservas: en cadáver el lado MIPO de los 10 especímenes conservó perforantes y nutricias [r3], pero en la diáfisis humana la placa submuscular no mostró ventaja clínica clara y hubo 6 malreducciones en 21 casos [r4]; en el fémur distal la rotación fue satisfactoria en solo 56,9 % de 51 pacientes tras MIPO [r5].</w:t>
      </w:r>
    </w:p>
    <w:p>
      <w:pPr>
        <w:pStyle w:val="ListBullet"/>
      </w:pPr>
      <w:r>
        <w:rPr/>
        <w:t>En cadera, la ventana lateral limitada es la del tornillo deslizante: la AAOS lo acepta en fracturas estables (recomendación fuerte), pero en subtrocantéricas y de oblicuidad inversa pide clavo cefalomedular [r6]. Con tornillo deslizante, ninguno de 120 tornillos con distancia punta-ápex de 25 mm o menos se salió de la cabeza [r7].</w:t>
      </w:r>
    </w:p>
    <w:p>
      <w:pPr>
        <w:pStyle w:val="Heading1"/>
      </w:pPr>
      <w:r>
        <w:t>Pilares</w:t>
      </w:r>
    </w:p>
    <w:p>
      <w:r>
        <w:rPr>
          <w:i/>
        </w:rPr>
        <w:t>Ideas que no se negocian.</w:t>
      </w:r>
    </w:p>
    <w:p>
      <w:pPr>
        <w:spacing w:after="60"/>
        <w:ind w:left="510" w:hanging="340"/>
      </w:pPr>
      <w:r>
        <w:rPr>
          <w:b/>
        </w:rPr>
        <w:t xml:space="preserve">1. </w:t>
      </w:r>
      <w:r>
        <w:rPr/>
        <w:t>Capas simples, perforantes impredecibles. El plano es corto (fascia lata, fascia del vasto, vasto, tabique y hueso), pero las perforantes cruzan el tabique sin patrón fijo y no hay zona segura [r1][r2]. Se buscan, y se ligan o coagulan antes de que se corten solas.</w:t>
      </w:r>
    </w:p>
    <w:p>
      <w:pPr>
        <w:spacing w:after="60"/>
        <w:ind w:left="510" w:hanging="340"/>
      </w:pPr>
      <w:r>
        <w:rPr>
          <w:b/>
        </w:rPr>
        <w:t xml:space="preserve">2. </w:t>
      </w:r>
      <w:r>
        <w:rPr/>
        <w:t>Exponer lo mínimo que el implante necesita. El hueso se nutre desde dentro (nutricias, 2/3 internos de la cortical) y desde fuera (periostio, tercio externo) [r8]; despegar de más o dejar la línea áspera expuesta sin necesidad cuesta irrigación [r9][r10].</w:t>
      </w:r>
    </w:p>
    <w:p>
      <w:pPr>
        <w:spacing w:after="60"/>
        <w:ind w:left="510" w:hanging="340"/>
      </w:pPr>
      <w:r>
        <w:rPr>
          <w:b/>
        </w:rPr>
        <w:t xml:space="preserve">3. </w:t>
      </w:r>
      <w:r>
        <w:rPr/>
        <w:t>MIPO protege la biología pero deja la reducción a ciegas. Compara longitud, alineación y rotación con el lado sano antes de fijar: la rotación fue satisfactoria en 56,9 % tras MIPO distal [r5] y la diferencia media fue 14,3° frente a 5,2° con reducción abierta [r11].</w:t>
      </w:r>
    </w:p>
    <w:p>
      <w:pPr>
        <w:spacing w:after="60"/>
        <w:ind w:left="510" w:hanging="340"/>
      </w:pPr>
      <w:r>
        <w:rPr>
          <w:b/>
        </w:rPr>
        <w:t xml:space="preserve">4. </w:t>
      </w:r>
      <w:r>
        <w:rPr/>
        <w:t>La ventana sirve al implante y el implante sirve a la fractura. En trocantéricas estables el tornillo deslizante y el clavo rinden parecido [r12][r6]; en subtrocantéricas y oblicuidad inversa manda el clavo [r6]; en diáfisis manda el clavo salvo que no pueda usarse [r8][r13].</w:t>
      </w:r>
    </w:p>
    <w:p>
      <w:pPr>
        <w:spacing w:after="60"/>
        <w:ind w:left="510" w:hanging="340"/>
      </w:pPr>
      <w:r>
        <w:rPr>
          <w:b/>
        </w:rPr>
        <w:t xml:space="preserve">5. </w:t>
      </w:r>
      <w:r>
        <w:rPr/>
        <w:t>Cierra por planos: el vasto vuelve a su lugar y la fascia lata se sutura con puntos firmes; en distal, además, la fascia del vasto y la cintilla [r1][r10].</w:t>
      </w:r>
    </w:p>
    <w:p>
      <w:pPr>
        <w:pStyle w:val="Heading1"/>
      </w:pPr>
      <w:r>
        <w:t>No olvidar</w:t>
      </w:r>
    </w:p>
    <w:p>
      <w:pPr>
        <w:pStyle w:val="ListBullet"/>
      </w:pPr>
      <w:r>
        <w:rPr/>
        <w:t>Pasados 5 cm por debajo de la cresta del vasto lateral (borde inferior del trocánter mayor) cuenta con encontrar las primeras perforantes [r14]. Ligadura con seda: el cauterio solo suele dar resangrado [r15].</w:t>
      </w:r>
    </w:p>
    <w:p>
      <w:pPr>
        <w:pStyle w:val="ListBullet"/>
      </w:pPr>
      <w:r>
        <w:rPr/>
        <w:t>La arteria femoral profunda pasa muy cerca de la cortical medial en su porción media (13,8 mm de media), a la altura de los orificios 3 y 4 de la placa lateral del tornillo deslizante: controla la profundidad del taladro [r16].</w:t>
      </w:r>
    </w:p>
    <w:p>
      <w:pPr>
        <w:pStyle w:val="ListBullet"/>
      </w:pPr>
      <w:r>
        <w:rPr/>
        <w:t>Antes de fijar con los tornillos definitivos compara longitud, alineación y rotación con la pierna sana; tras MIPO distal solo 56,9 % de 51 pacientes tuvo rotación satisfactoria en la TC [r5].</w:t>
      </w:r>
    </w:p>
    <w:p>
      <w:pPr>
        <w:pStyle w:val="ListBullet"/>
      </w:pPr>
      <w:r>
        <w:rPr/>
        <w:t>En la mesa de tracción acolcha el poste perineal: una revisión halló lesión de partes blandas perineales en 11 pacientes (3,0 %) [r17].</w:t>
      </w:r>
    </w:p>
    <w:p>
      <w:pPr>
        <w:pStyle w:val="ListBullet"/>
      </w:pPr>
      <w:r>
        <w:rPr/>
        <w:t>En la extensión proximal, el nervio glúteo superior cruza 3-5 cm sobre la punta del trocánter [r18]; en cadáver estuvo a menos de 30 mm en 3 de 15 caderas [r19].</w:t>
      </w:r>
    </w:p>
    <w:p>
      <w:pPr>
        <w:pStyle w:val="Heading1"/>
      </w:pPr>
      <w:r>
        <w:t>Definición</w:t>
      </w:r>
    </w:p>
    <w:p>
      <w:r>
        <w:rPr/>
        <w:t>El abordaje lateral del fémur es la puerta de entrada cuando hay que apoyar una placa o insertar un tornillo deslizante sobre la cara lateral del hueso. Se imagina una línea del trocánter mayor al epicóndilo lateral y se abre solo el tramo que pida la fractura [r1]. Su seguridad es geométrica: el paquete vasculonervioso mayor corre por la cara medial y posteromedial del muslo, lejos de esta ruta, que nunca lo pone a la vista [r1].</w:t>
      </w:r>
    </w:p>
    <w:p>
      <w:r>
        <w:rPr/>
        <w:t>No es un abordaje entre dos músculos de inervación distinta, como un deltopectoral. Lo que se separa es el vasto lateral del tabique intermuscular lateral, y lo que se arriesga son las perforantes, no un nervio principal (enseñanza clásica / opinión experta).</w:t>
      </w:r>
    </w:p>
    <w:p>
      <w:r>
        <w:rPr>
          <w:b/>
        </w:rPr>
        <w:t>Es una familia de ventanas, no una sola.</w:t>
      </w:r>
    </w:p>
    <w:p>
      <w:pPr>
        <w:pStyle w:val="ListBullet"/>
      </w:pPr>
      <w:r>
        <w:rPr>
          <w:b/>
        </w:rPr>
        <w:t>Ventana lateral limitada.</w:t>
      </w:r>
      <w:r>
        <w:rPr/>
        <w:t xml:space="preserve"> Sirve para insertar el implante después de una reducción cerrada; el tornillo deslizante es el ejemplo clásico [r14].</w:t>
      </w:r>
    </w:p>
    <w:p>
      <w:pPr>
        <w:pStyle w:val="ListBullet"/>
      </w:pPr>
      <w:r>
        <w:rPr>
          <w:b/>
        </w:rPr>
        <w:t>Lateral abierta de la diáfisis.</w:t>
      </w:r>
      <w:r>
        <w:rPr/>
        <w:t xml:space="preserve"> Se eleva el vasto del tabique para poner una placa a cielo abierto [r1].</w:t>
      </w:r>
    </w:p>
    <w:p>
      <w:pPr>
        <w:pStyle w:val="ListBullet"/>
      </w:pPr>
      <w:r>
        <w:rPr>
          <w:b/>
        </w:rPr>
        <w:t>Ventanas mínimamente invasivas (MIO/MIPO).</w:t>
      </w:r>
      <w:r>
        <w:rPr/>
        <w:t xml:space="preserve"> Una incisión corta sobre la misma línea, fibras del vasto separadas en lugar de elevadas y la placa deslizada por debajo del músculo [r25][r20].</w:t>
      </w:r>
    </w:p>
    <w:p>
      <w:pPr>
        <w:pStyle w:val="ListBullet"/>
      </w:pPr>
      <w:r>
        <w:rPr>
          <w:b/>
        </w:rPr>
        <w:t>Extensiones.</w:t>
      </w:r>
      <w:r>
        <w:rPr/>
        <w:t xml:space="preserve"> Hacia proximal (origen del vasto, glúteo medio, trocánter) y hacia distal (cintilla iliotibial y ventana lateral del fémur distal) [r1][r14][r10].</w:t>
      </w:r>
    </w:p>
    <w:p>
      <w:r>
        <w:rPr>
          <w:b/>
        </w:rPr>
        <w:t>Para qué se usa.</w:t>
      </w:r>
      <w:r>
        <w:rPr/>
        <w:t xml:space="preserve"> Fracturas pertrocantéreas con tornillo deslizante o placa, fracturas subtrocantéricas, fracturas diafisarias con placa cuando el clavo no sirve, fracturas del fémur distal con placa lateral, osteotomías del fémur proximal y no uniones. La tabla de indicaciones separa lo que tiene respaldo de lo que no.</w:t>
      </w:r>
    </w:p>
    <w:p>
      <w:r>
        <w:rPr/>
        <w:t>En este tema vas a ver, en orden: anatomía, variantes, biología de la irrigación, algoritmo, indicaciones, técnica paso a paso, comparaciones (MIPO frente a abierto; tornillo deslizante frente a clavo), complicaciones, pronóstico, rehabilitación y guías. Es material de estudio: no sustituye al tutor ni al manual del implante. Para las entradas laterales de la cadera (lateral directo y Watson-Jones) revisa el tema vecino «Abordajes anterolateral y lateral directo de la cadera».</w:t>
      </w:r>
    </w:p>
    <w:p>
      <w:pPr>
        <w:keepNext/>
      </w:pPr>
      <w:r>
        <w:rPr>
          <w:b/>
          <w:color w:val="0F5F6B"/>
          <w:sz w:val="20"/>
        </w:rPr>
        <w:t>Referencias de este bloque</w:t>
      </w:r>
    </w:p>
    <w:p>
      <w:pPr>
        <w:spacing w:after="60"/>
        <w:ind w:left="510" w:hanging="510"/>
      </w:pPr>
      <w:r>
        <w:rPr>
          <w:b/>
          <w:sz w:val="18"/>
        </w:rPr>
        <w:t xml:space="preserve">[r1] </w:t>
      </w:r>
      <w:r>
        <w:rPr>
          <w:sz w:val="18"/>
        </w:rPr>
        <w:t xml:space="preserve">Giannoudis PV, Pape HC, Schütz M. Lateral approach to the femoral shaft [Internet]. En: AO Surgery Reference. Davos: AO Foundation [consultado 2026 oct 12]. Disponible en: https://surgeryreference.aofoundation.org/orthopedic-trauma/adult-trauma/femoral-shaft/approach/lateral-approach </w:t>
      </w:r>
      <w:r>
        <w:rPr>
          <w:i/>
          <w:color w:val="5A6469"/>
          <w:sz w:val="17"/>
        </w:rPr>
        <w:t xml:space="preserve">(web-oficial · acceso abierto) </w:t>
      </w:r>
      <w:hyperlink r:id="rId11">
        <w:r>
          <w:rPr>
            <w:color w:val="0563C1"/>
            <w:u w:val="single"/>
            <w:sz w:val="18"/>
          </w:rPr>
          <w:t xml:space="preserve">https://surgeryreference.aofoundation.org/orthopedic-trauma/adult-trauma/femoral-shaft/approach/lateral-approach</w:t>
        </w:r>
      </w:hyperlink>
    </w:p>
    <w:p>
      <w:pPr>
        <w:spacing w:after="60"/>
        <w:ind w:left="510" w:hanging="510"/>
      </w:pPr>
      <w:r>
        <w:rPr>
          <w:b/>
          <w:sz w:val="18"/>
        </w:rPr>
        <w:t xml:space="preserve">[r10] </w:t>
      </w:r>
      <w:r>
        <w:rPr>
          <w:sz w:val="18"/>
        </w:rPr>
        <w:t xml:space="preserve">Gebhard F, Kregor P, Oliver C, Nousiainen MT. Lateral/anterolateral approach to the distal femur [Internet]. En: AO Surgery Reference. Davos: AO Foundation [consultado 2026 oct 12]. Disponible en: https://surgeryreference.aofoundation.org/orthopedic-trauma/adult-trauma/distal-femur/approach/lateral-anterolateral-approach-to-the-distal-femur </w:t>
      </w:r>
      <w:r>
        <w:rPr>
          <w:i/>
          <w:color w:val="5A6469"/>
          <w:sz w:val="17"/>
        </w:rPr>
        <w:t xml:space="preserve">(web-oficial · acceso abierto) </w:t>
      </w:r>
      <w:hyperlink r:id="rId12">
        <w:r>
          <w:rPr>
            <w:color w:val="0563C1"/>
            <w:u w:val="single"/>
            <w:sz w:val="18"/>
          </w:rPr>
          <w:t xml:space="preserve">https://surgeryreference.aofoundation.org/orthopedic-trauma/adult-trauma/distal-femur/approach/lateral-anterolateral-approach-to-the-distal-femur</w:t>
        </w:r>
      </w:hyperlink>
    </w:p>
    <w:p>
      <w:pPr>
        <w:spacing w:after="60"/>
        <w:ind w:left="510" w:hanging="510"/>
      </w:pPr>
      <w:r>
        <w:rPr>
          <w:b/>
          <w:sz w:val="18"/>
        </w:rPr>
        <w:t xml:space="preserve">[r14] </w:t>
      </w:r>
      <w:r>
        <w:rPr>
          <w:sz w:val="18"/>
        </w:rPr>
        <w:t xml:space="preserve">Apivatthakakul T, Oh JK. Limited lateral approach for implant insertion in the proximal femur [Internet]. En: AO Surgery Reference. Davos: AO Foundation [consultado 2026 oct 12]. Disponible en: https://surgeryreference.aofoundation.org/orthopedic-trauma/adult-trauma/proximal-femur/approach/limited-lateral-approach-for-implant-insertion </w:t>
      </w:r>
      <w:r>
        <w:rPr>
          <w:i/>
          <w:color w:val="5A6469"/>
          <w:sz w:val="17"/>
        </w:rPr>
        <w:t xml:space="preserve">(web-oficial · acceso abierto) </w:t>
      </w:r>
      <w:hyperlink r:id="rId13">
        <w:r>
          <w:rPr>
            <w:color w:val="0563C1"/>
            <w:u w:val="single"/>
            <w:sz w:val="18"/>
          </w:rPr>
          <w:t xml:space="preserve">https://surgeryreference.aofoundation.org/orthopedic-trauma/adult-trauma/proximal-femur/approach/limited-lateral-approach-for-implant-insertion</w:t>
        </w:r>
      </w:hyperlink>
    </w:p>
    <w:p>
      <w:pPr>
        <w:spacing w:after="60"/>
        <w:ind w:left="510" w:hanging="510"/>
      </w:pPr>
      <w:r>
        <w:rPr>
          <w:b/>
          <w:sz w:val="18"/>
        </w:rPr>
        <w:t xml:space="preserve">[r20] </w:t>
      </w:r>
      <w:r>
        <w:rPr>
          <w:sz w:val="18"/>
        </w:rPr>
        <w:t xml:space="preserve">Gebhard F, Kregor P, Oliver C, Nousiainen MT. MIPO approach to the distal femur from lateral/anterolateral [Internet]. En: AO Surgery Reference. Davos: AO Foundation [consultado 2026 oct 12]. Disponible en: https://surgeryreference.aofoundation.org/orthopedic-trauma/adult-trauma/distal-femur/approach/mipo-approach-to-the-distal-femur-from-lateral-anterolateral </w:t>
      </w:r>
      <w:r>
        <w:rPr>
          <w:i/>
          <w:color w:val="5A6469"/>
          <w:sz w:val="17"/>
        </w:rPr>
        <w:t xml:space="preserve">(web-oficial · acceso abierto) </w:t>
      </w:r>
      <w:hyperlink r:id="rId14">
        <w:r>
          <w:rPr>
            <w:color w:val="0563C1"/>
            <w:u w:val="single"/>
            <w:sz w:val="18"/>
          </w:rPr>
          <w:t xml:space="preserve">https://surgeryreference.aofoundation.org/orthopedic-trauma/adult-trauma/distal-femur/approach/mipo-approach-to-the-distal-femur-from-lateral-anterolateral</w:t>
        </w:r>
      </w:hyperlink>
    </w:p>
    <w:p>
      <w:pPr>
        <w:spacing w:after="60"/>
        <w:ind w:left="510" w:hanging="510"/>
      </w:pPr>
      <w:r>
        <w:rPr>
          <w:b/>
          <w:sz w:val="18"/>
        </w:rPr>
        <w:t xml:space="preserve">[r25] </w:t>
      </w:r>
      <w:r>
        <w:rPr>
          <w:sz w:val="18"/>
        </w:rPr>
        <w:t xml:space="preserve">Giannoudis PV, Pape HC, Schütz M. Minimally invasive osteosynthesis approach to the femoral shaft [Internet]. En: AO Surgery Reference. Davos: AO Foundation [consultado 2026 oct 12]. Disponible en: https://surgeryreference.aofoundation.org/orthopedic-trauma/adult-trauma/femoral-shaft/approach/minimally-invasive-osteosynthesis-approach </w:t>
      </w:r>
      <w:r>
        <w:rPr>
          <w:i/>
          <w:color w:val="5A6469"/>
          <w:sz w:val="17"/>
        </w:rPr>
        <w:t xml:space="preserve">(web-oficial · acceso abierto) </w:t>
      </w:r>
      <w:hyperlink r:id="rId15">
        <w:r>
          <w:rPr>
            <w:color w:val="0563C1"/>
            <w:u w:val="single"/>
            <w:sz w:val="18"/>
          </w:rPr>
          <w:t xml:space="preserve">https://surgeryreference.aofoundation.org/orthopedic-trauma/adult-trauma/femoral-shaft/approach/minimally-invasive-osteosynthesis-approach</w:t>
        </w:r>
      </w:hyperlink>
    </w:p>
    <w:p>
      <w:pPr>
        <w:pStyle w:val="Heading1"/>
      </w:pPr>
      <w:r>
        <w:t>Anatomía quirúrgica: capas, perforantes y estructuras en riesgo</w:t>
      </w:r>
    </w:p>
    <w:p>
      <w:r>
        <w:rPr/>
        <w:t>Aprende las capas como una ruta: cada una es una decisión del bisturí.</w:t>
      </w:r>
    </w:p>
    <w:p>
      <w:pPr>
        <w:spacing w:after="60"/>
        <w:ind w:left="510" w:hanging="340"/>
      </w:pPr>
      <w:r>
        <w:rPr>
          <w:b/>
        </w:rPr>
        <w:t xml:space="preserve">1. </w:t>
      </w:r>
      <w:r>
        <w:rPr>
          <w:b/>
        </w:rPr>
        <w:t>Piel y subcutáneo.</w:t>
      </w:r>
      <w:r>
        <w:rPr/>
        <w:t xml:space="preserve"> La línea guía va del trocánter mayor al epicóndilo lateral [r1].</w:t>
      </w:r>
    </w:p>
    <w:p>
      <w:pPr>
        <w:spacing w:after="60"/>
        <w:ind w:left="510" w:hanging="340"/>
      </w:pPr>
      <w:r>
        <w:rPr>
          <w:b/>
        </w:rPr>
        <w:t xml:space="preserve">2. </w:t>
      </w:r>
      <w:r>
        <w:rPr>
          <w:b/>
        </w:rPr>
        <w:t>Fascia lata.</w:t>
      </w:r>
      <w:r>
        <w:rPr/>
        <w:t xml:space="preserve"> En el muslo lateral es la cintilla iliotibial. Se abre en línea con la piel y a favor de sus fibras [r1]. Junto al trocánter, el tensor de la fascia lata va envuelto en un desdoblamiento de la fascia y ocupa el sector anterior; para no herirlo, el corte va posterior al músculo [r14].</w:t>
      </w:r>
    </w:p>
    <w:p>
      <w:pPr>
        <w:spacing w:after="60"/>
        <w:ind w:left="510" w:hanging="340"/>
      </w:pPr>
      <w:r>
        <w:rPr>
          <w:b/>
        </w:rPr>
        <w:t xml:space="preserve">3. </w:t>
      </w:r>
      <w:r>
        <w:rPr>
          <w:b/>
        </w:rPr>
        <w:t>Fascia propia del vasto lateral.</w:t>
      </w:r>
      <w:r>
        <w:rPr/>
        <w:t xml:space="preserve"> Al abrirla aparece el músculo [r1].</w:t>
      </w:r>
    </w:p>
    <w:p>
      <w:pPr>
        <w:spacing w:after="60"/>
        <w:ind w:left="510" w:hanging="340"/>
      </w:pPr>
      <w:r>
        <w:rPr>
          <w:b/>
        </w:rPr>
        <w:t xml:space="preserve">4. </w:t>
      </w:r>
      <w:r>
        <w:rPr>
          <w:b/>
        </w:rPr>
        <w:t>Vasto lateral.</w:t>
      </w:r>
      <w:r>
        <w:rPr/>
        <w:t xml:space="preserve"> El trocánter es la frontera: por debajo manda el vasto lateral sobre la diáfisis y por encima, el glúteo medio [r14].</w:t>
      </w:r>
    </w:p>
    <w:p>
      <w:pPr>
        <w:spacing w:after="60"/>
        <w:ind w:left="510" w:hanging="340"/>
      </w:pPr>
      <w:r>
        <w:rPr>
          <w:b/>
        </w:rPr>
        <w:t xml:space="preserve">5. </w:t>
      </w:r>
      <w:r>
        <w:rPr>
          <w:b/>
        </w:rPr>
        <w:t>Tabique intermuscular lateral y línea áspera.</w:t>
      </w:r>
      <w:r>
        <w:rPr/>
        <w:t xml:space="preserve"> Aquí se despega el músculo y por aquí entran las perforantes desde atrás [r1]. La línea áspera es el engrosamiento cortical posterior donde se insertan los tabiques intermusculares [r8].</w:t>
      </w:r>
    </w:p>
    <w:p>
      <w:pPr>
        <w:spacing w:after="60"/>
        <w:ind w:left="510" w:hanging="340"/>
      </w:pPr>
      <w:r>
        <w:rPr>
          <w:b/>
        </w:rPr>
        <w:t xml:space="preserve">6. </w:t>
      </w:r>
      <w:r>
        <w:rPr>
          <w:b/>
        </w:rPr>
        <w:t>Periostio y hueso.</w:t>
      </w:r>
      <w:r>
        <w:rPr/>
        <w:t xml:space="preserve"> Se llega por vía extraperióstica [r1].</w:t>
      </w:r>
    </w:p>
    <w:p>
      <w:r>
        <w:rPr>
          <w:b/>
        </w:rPr>
        <w:t>Por qué mandan las perforantes.</w:t>
      </w:r>
      <w:r>
        <w:rPr/>
        <w:t xml:space="preserve"> Nacen de la femoral profunda y, camino de la cara posterior del muslo, se cuelan entre el hueso y los tendones de los aductores [r2]; del lado lateral atraviesan el tabique de atrás hacia delante, pegadas al hueso [r1]. En 100 especímenes (200 piernas) cada pierna tenía entre 2 y 7; lo más frecuente fueron 4 en 69 piernas (34,5 %) y 3 en 67 (33,5 %) [r2]. Además, en 64 % de las piernas al menos una se dividía en 2-4 ramas antes de pasar atrás [r2], de modo que lo que ves en la mesa suele superar lo que dice el libro. Pasaron al muslo posterior a todos los niveles entre 14,0 y 36,5 cm desde la espina ilíaca anterosuperior (16-39 % de la longitud de la pierna) y los autores no identificaron ninguna zona segura [r2]. La lección de técnica es sencilla: no calcules dónde están, búscalas cada vez [r1].</w:t>
      </w:r>
    </w:p>
    <w:p>
      <w:r>
        <w:rPr>
          <w:b/>
        </w:rPr>
        <w:t>Otras estructuras.</w:t>
      </w:r>
    </w:p>
    <w:p>
      <w:pPr>
        <w:pStyle w:val="ListBullet"/>
      </w:pPr>
      <w:r>
        <w:rPr>
          <w:b/>
        </w:rPr>
        <w:t>Nervio ciático.</w:t>
      </w:r>
      <w:r>
        <w:rPr/>
        <w:t xml:space="preserve"> Corre muy próximo a la diáfisis, y por eso, con su división peronea a la cabeza, es el nervio más expuesto cuando el fémur se fractura [r8]. En esta vía queda en el compartimento posterior: mantente sobre el hueso y no pongas retractores fuera de él (opinión experta).</w:t>
      </w:r>
    </w:p>
    <w:p>
      <w:pPr>
        <w:pStyle w:val="ListBullet"/>
      </w:pPr>
      <w:r>
        <w:rPr>
          <w:b/>
        </w:rPr>
        <w:t>Arteria femoral profunda.</w:t>
      </w:r>
      <w:r>
        <w:rPr/>
        <w:t xml:space="preserve"> En 44 angiografías por TC, su porción media estuvo a 13,8 mm de la cortical medial y correspondió a los orificios tercero y cuarto de la placa del tornillo deslizante [r16]. Por eso importa la profundidad del taladro.</w:t>
      </w:r>
    </w:p>
    <w:p>
      <w:pPr>
        <w:pStyle w:val="ListBullet"/>
      </w:pPr>
      <w:r>
        <w:rPr>
          <w:b/>
        </w:rPr>
        <w:t>Nervio y vasos glúteos superiores.</w:t>
      </w:r>
      <w:r>
        <w:rPr/>
        <w:t xml:space="preserve"> Cruzan 3-5 cm por encima de la punta del trocánter mayor [r18]. En 15 caderas de cadáver la distancia media del trocánter a la rama más baja fue 44 mm y en 3 fue menor de 30 mm, sin relación con el largo del fémur [r19].</w:t>
      </w:r>
    </w:p>
    <w:p>
      <w:pPr>
        <w:pStyle w:val="ListBullet"/>
      </w:pPr>
      <w:r>
        <w:rPr>
          <w:b/>
        </w:rPr>
        <w:t>Ramas motoras del vasto lateral.</w:t>
      </w:r>
      <w:r>
        <w:rPr/>
        <w:t xml:space="preserve"> En 43 miembros de cadáver había de 2 a 7 (media 4) [r26]. Dividir sus fibras de forma roma y corta, y no con cortes largos transversales, es una regla de prudencia (opinión experta).</w:t>
      </w:r>
    </w:p>
    <w:p>
      <w:pPr>
        <w:pStyle w:val="ListBullet"/>
      </w:pPr>
      <w:r>
        <w:rPr>
          <w:b/>
        </w:rPr>
        <w:t>Arteria y vena geniculares laterales superiores.</w:t>
      </w:r>
      <w:r>
        <w:rPr/>
        <w:t xml:space="preserve"> En la ventana distal hay que coagular sus ramas [r20].</w:t>
      </w:r>
    </w:p>
    <w:p>
      <w:pPr>
        <w:keepNext/>
      </w:pPr>
      <w:r>
        <w:rPr>
          <w:b/>
          <w:color w:val="0F5F6B"/>
          <w:sz w:val="20"/>
        </w:rPr>
        <w:t>Tabla 1. Estructuras en riesgo en el abordaje lateral del fémur</w:t>
      </w:r>
      <w:r>
        <w:rPr>
          <w:color w:val="5A6469"/>
          <w:sz w:val="18"/>
        </w:rPr>
        <w:t xml:space="preserve">  [r1] [r16] [r21] [r18] [r19] [r26] [r20] [r8] [r9] [r10]</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Estructura</w:t>
            </w:r>
          </w:p>
        </w:tc>
        <w:tc>
          <w:tcPr>
            <w:tcW w:type="dxa" w:w="2353"/>
            <w:shd w:val="clear" w:color="auto" w:fill="0F5F6B"/>
          </w:tcPr>
          <w:p>
            <w:r/>
            <w:r>
              <w:rPr>
                <w:b/>
                <w:color w:val="FFFFFF"/>
                <w:sz w:val="20"/>
              </w:rPr>
              <w:t>Dónde está</w:t>
            </w:r>
          </w:p>
        </w:tc>
        <w:tc>
          <w:tcPr>
            <w:tcW w:type="dxa" w:w="2353"/>
            <w:shd w:val="clear" w:color="auto" w:fill="0F5F6B"/>
          </w:tcPr>
          <w:p>
            <w:r/>
            <w:r>
              <w:rPr>
                <w:b/>
                <w:color w:val="FFFFFF"/>
                <w:sz w:val="20"/>
              </w:rPr>
              <w:t>Cómo se lesiona</w:t>
            </w:r>
          </w:p>
        </w:tc>
        <w:tc>
          <w:tcPr>
            <w:tcW w:type="dxa" w:w="2353"/>
            <w:shd w:val="clear" w:color="auto" w:fill="0F5F6B"/>
          </w:tcPr>
          <w:p>
            <w:r/>
            <w:r>
              <w:rPr>
                <w:b/>
                <w:color w:val="FFFFFF"/>
                <w:sz w:val="20"/>
              </w:rPr>
              <w:t>Cómo se evita</w:t>
            </w:r>
          </w:p>
        </w:tc>
      </w:tr>
      <w:tr>
        <w:tc>
          <w:tcPr>
            <w:tcW w:type="dxa" w:w="2353"/>
          </w:tcPr>
          <w:p>
            <w:r/>
            <w:r>
              <w:rPr>
                <w:sz w:val="20"/>
              </w:rPr>
              <w:t>Perforantes de la femoral profunda</w:t>
            </w:r>
          </w:p>
        </w:tc>
        <w:tc>
          <w:tcPr>
            <w:tcW w:type="dxa" w:w="2353"/>
          </w:tcPr>
          <w:p>
            <w:r/>
            <w:r>
              <w:rPr>
                <w:sz w:val="20"/>
              </w:rPr>
              <w:t>Atraviesan el tabique desde atrás y se pegan a la diáfisis [r1]</w:t>
            </w:r>
          </w:p>
        </w:tc>
        <w:tc>
          <w:tcPr>
            <w:tcW w:type="dxa" w:w="2353"/>
          </w:tcPr>
          <w:p>
            <w:r/>
            <w:r>
              <w:rPr>
                <w:sz w:val="20"/>
              </w:rPr>
              <w:t>Se desgarran al despegar el vasto; el cabo posterior se retrae al compartimento posterior y sangra de forma oculta [r1]</w:t>
            </w:r>
          </w:p>
        </w:tc>
        <w:tc>
          <w:tcPr>
            <w:tcW w:type="dxa" w:w="2353"/>
          </w:tcPr>
          <w:p>
            <w:r/>
            <w:r>
              <w:rPr>
                <w:sz w:val="20"/>
              </w:rPr>
              <w:t>Identificarlas, ligar las grandes y coagular las pequeñas [r1]</w:t>
            </w:r>
          </w:p>
        </w:tc>
      </w:tr>
      <w:tr>
        <w:tc>
          <w:tcPr>
            <w:tcW w:type="dxa" w:w="2353"/>
            <w:shd w:val="clear" w:color="auto" w:fill="EEF3F4"/>
          </w:tcPr>
          <w:p>
            <w:r/>
            <w:r>
              <w:rPr>
                <w:sz w:val="20"/>
              </w:rPr>
              <w:t>Arteria femoral profunda (cara medial del hueso)</w:t>
            </w:r>
          </w:p>
        </w:tc>
        <w:tc>
          <w:tcPr>
            <w:tcW w:type="dxa" w:w="2353"/>
            <w:shd w:val="clear" w:color="auto" w:fill="EEF3F4"/>
          </w:tcPr>
          <w:p>
            <w:r/>
            <w:r>
              <w:rPr>
                <w:sz w:val="20"/>
              </w:rPr>
              <w:t>13,8 mm de la cortical medial en su porción media; orificios 3 y 4 de la placa del tornillo deslizante [r16]</w:t>
            </w:r>
          </w:p>
        </w:tc>
        <w:tc>
          <w:tcPr>
            <w:tcW w:type="dxa" w:w="2353"/>
            <w:shd w:val="clear" w:color="auto" w:fill="EEF3F4"/>
          </w:tcPr>
          <w:p>
            <w:r/>
            <w:r>
              <w:rPr>
                <w:sz w:val="20"/>
              </w:rPr>
              <w:t>Taladro que sobrepasa la cortical medial o presión de Hohmann: hematoma masivo y pseudoaneurisma en 2 casos descritos [r21]</w:t>
            </w:r>
          </w:p>
        </w:tc>
        <w:tc>
          <w:tcPr>
            <w:tcW w:type="dxa" w:w="2353"/>
            <w:shd w:val="clear" w:color="auto" w:fill="EEF3F4"/>
          </w:tcPr>
          <w:p>
            <w:r/>
            <w:r>
              <w:rPr>
                <w:sz w:val="20"/>
              </w:rPr>
              <w:t>Cuidar el taladro en los orificios 3 y 4 [r16]; separadores sin presión excesiva (opinión experta)</w:t>
            </w:r>
          </w:p>
        </w:tc>
      </w:tr>
      <w:tr>
        <w:tc>
          <w:tcPr>
            <w:tcW w:type="dxa" w:w="2353"/>
          </w:tcPr>
          <w:p>
            <w:r/>
            <w:r>
              <w:rPr>
                <w:sz w:val="20"/>
              </w:rPr>
              <w:t>Nervio glúteo superior</w:t>
            </w:r>
          </w:p>
        </w:tc>
        <w:tc>
          <w:tcPr>
            <w:tcW w:type="dxa" w:w="2353"/>
          </w:tcPr>
          <w:p>
            <w:r/>
            <w:r>
              <w:rPr>
                <w:sz w:val="20"/>
              </w:rPr>
              <w:t>3-5 cm sobre la punta del trocánter mayor [r18]; menos de 30 mm en 3 de 15 caderas [r19]</w:t>
            </w:r>
          </w:p>
        </w:tc>
        <w:tc>
          <w:tcPr>
            <w:tcW w:type="dxa" w:w="2353"/>
          </w:tcPr>
          <w:p>
            <w:r/>
            <w:r>
              <w:rPr>
                <w:sz w:val="20"/>
              </w:rPr>
              <w:t>Extensión proximal sobre el glúteo medio [r18]</w:t>
            </w:r>
          </w:p>
        </w:tc>
        <w:tc>
          <w:tcPr>
            <w:tcW w:type="dxa" w:w="2353"/>
          </w:tcPr>
          <w:p>
            <w:r/>
            <w:r>
              <w:rPr>
                <w:sz w:val="20"/>
              </w:rPr>
              <w:t>No subir más de lo necesario por encima del trocánter [r18]</w:t>
            </w:r>
          </w:p>
        </w:tc>
      </w:tr>
      <w:tr>
        <w:tc>
          <w:tcPr>
            <w:tcW w:type="dxa" w:w="2353"/>
            <w:shd w:val="clear" w:color="auto" w:fill="EEF3F4"/>
          </w:tcPr>
          <w:p>
            <w:r/>
            <w:r>
              <w:rPr>
                <w:sz w:val="20"/>
              </w:rPr>
              <w:t>Ramas motoras del vasto lateral</w:t>
            </w:r>
          </w:p>
        </w:tc>
        <w:tc>
          <w:tcPr>
            <w:tcW w:type="dxa" w:w="2353"/>
            <w:shd w:val="clear" w:color="auto" w:fill="EEF3F4"/>
          </w:tcPr>
          <w:p>
            <w:r/>
            <w:r>
              <w:rPr>
                <w:sz w:val="20"/>
              </w:rPr>
              <w:t>De 2 a 7 ramas, media de 4, en 43 miembros [r26]</w:t>
            </w:r>
          </w:p>
        </w:tc>
        <w:tc>
          <w:tcPr>
            <w:tcW w:type="dxa" w:w="2353"/>
            <w:shd w:val="clear" w:color="auto" w:fill="EEF3F4"/>
          </w:tcPr>
          <w:p>
            <w:r/>
            <w:r>
              <w:rPr>
                <w:sz w:val="20"/>
              </w:rPr>
              <w:t>Cortes largos del vientre muscular (opinión experta)</w:t>
            </w:r>
          </w:p>
        </w:tc>
        <w:tc>
          <w:tcPr>
            <w:tcW w:type="dxa" w:w="2353"/>
            <w:shd w:val="clear" w:color="auto" w:fill="EEF3F4"/>
          </w:tcPr>
          <w:p>
            <w:r/>
            <w:r>
              <w:rPr>
                <w:sz w:val="20"/>
              </w:rPr>
              <w:t>Separar las fibras de forma roma y corta (opinión experta)</w:t>
            </w:r>
          </w:p>
        </w:tc>
      </w:tr>
      <w:tr>
        <w:tc>
          <w:tcPr>
            <w:tcW w:type="dxa" w:w="2353"/>
          </w:tcPr>
          <w:p>
            <w:r/>
            <w:r>
              <w:rPr>
                <w:sz w:val="20"/>
              </w:rPr>
              <w:t>Arteria y vena geniculares laterales superiores</w:t>
            </w:r>
          </w:p>
        </w:tc>
        <w:tc>
          <w:tcPr>
            <w:tcW w:type="dxa" w:w="2353"/>
          </w:tcPr>
          <w:p>
            <w:r/>
            <w:r>
              <w:rPr>
                <w:sz w:val="20"/>
              </w:rPr>
              <w:t>Región distal lateral [r20]</w:t>
            </w:r>
          </w:p>
        </w:tc>
        <w:tc>
          <w:tcPr>
            <w:tcW w:type="dxa" w:w="2353"/>
          </w:tcPr>
          <w:p>
            <w:r/>
            <w:r>
              <w:rPr>
                <w:sz w:val="20"/>
              </w:rPr>
              <w:t>Exposición de la ventana distal [r20]</w:t>
            </w:r>
          </w:p>
        </w:tc>
        <w:tc>
          <w:tcPr>
            <w:tcW w:type="dxa" w:w="2353"/>
          </w:tcPr>
          <w:p>
            <w:r/>
            <w:r>
              <w:rPr>
                <w:sz w:val="20"/>
              </w:rPr>
              <w:t>Coagular sus ramas [r20]</w:t>
            </w:r>
          </w:p>
        </w:tc>
      </w:tr>
      <w:tr>
        <w:tc>
          <w:tcPr>
            <w:tcW w:type="dxa" w:w="2353"/>
            <w:shd w:val="clear" w:color="auto" w:fill="EEF3F4"/>
          </w:tcPr>
          <w:p>
            <w:r/>
            <w:r>
              <w:rPr>
                <w:sz w:val="20"/>
              </w:rPr>
              <w:t>Nervio ciático</w:t>
            </w:r>
          </w:p>
        </w:tc>
        <w:tc>
          <w:tcPr>
            <w:tcW w:type="dxa" w:w="2353"/>
            <w:shd w:val="clear" w:color="auto" w:fill="EEF3F4"/>
          </w:tcPr>
          <w:p>
            <w:r/>
            <w:r>
              <w:rPr>
                <w:sz w:val="20"/>
              </w:rPr>
              <w:t>Compartimento posterior, cerca del hueso [r8]</w:t>
            </w:r>
          </w:p>
        </w:tc>
        <w:tc>
          <w:tcPr>
            <w:tcW w:type="dxa" w:w="2353"/>
            <w:shd w:val="clear" w:color="auto" w:fill="EEF3F4"/>
          </w:tcPr>
          <w:p>
            <w:r/>
            <w:r>
              <w:rPr>
                <w:sz w:val="20"/>
              </w:rPr>
              <w:t>Ir por el borde posterior o retractores mal apoyados (opinión experta)</w:t>
            </w:r>
          </w:p>
        </w:tc>
        <w:tc>
          <w:tcPr>
            <w:tcW w:type="dxa" w:w="2353"/>
            <w:shd w:val="clear" w:color="auto" w:fill="EEF3F4"/>
          </w:tcPr>
          <w:p>
            <w:r/>
            <w:r>
              <w:rPr>
                <w:sz w:val="20"/>
              </w:rPr>
              <w:t>Mantenerse sobre el hueso, extraperióstico [r1]</w:t>
            </w:r>
          </w:p>
        </w:tc>
      </w:tr>
      <w:tr>
        <w:tc>
          <w:tcPr>
            <w:tcW w:type="dxa" w:w="2353"/>
          </w:tcPr>
          <w:p>
            <w:r/>
            <w:r>
              <w:rPr>
                <w:sz w:val="20"/>
              </w:rPr>
              <w:t>Periostio y línea áspera</w:t>
            </w:r>
          </w:p>
        </w:tc>
        <w:tc>
          <w:tcPr>
            <w:tcW w:type="dxa" w:w="2353"/>
          </w:tcPr>
          <w:p>
            <w:r/>
            <w:r>
              <w:rPr>
                <w:sz w:val="20"/>
              </w:rPr>
              <w:t>Irrigación externa del hueso: tercio externo de la cortical [r8]</w:t>
            </w:r>
          </w:p>
        </w:tc>
        <w:tc>
          <w:tcPr>
            <w:tcW w:type="dxa" w:w="2353"/>
          </w:tcPr>
          <w:p>
            <w:r/>
            <w:r>
              <w:rPr>
                <w:sz w:val="20"/>
              </w:rPr>
              <w:t>Despegar de más o ligar pegado al tabique [r9]</w:t>
            </w:r>
          </w:p>
        </w:tc>
        <w:tc>
          <w:tcPr>
            <w:tcW w:type="dxa" w:w="2353"/>
          </w:tcPr>
          <w:p>
            <w:r/>
            <w:r>
              <w:rPr>
                <w:sz w:val="20"/>
              </w:rPr>
              <w:t>Despegar solo la cara lateral y conservar periostio [r10]</w:t>
            </w:r>
          </w:p>
        </w:tc>
      </w:tr>
    </w:tbl>
    <w:p/>
    <w:p>
      <w:pPr>
        <w:keepNext/>
      </w:pPr>
      <w:r>
        <w:rPr>
          <w:b/>
          <w:color w:val="0F5F6B"/>
          <w:sz w:val="20"/>
        </w:rPr>
        <w:t>Figura 1. Número de arterias perforantes por pierna (200 piernas disecadas)</w:t>
      </w:r>
      <w:r>
        <w:rPr>
          <w:color w:val="5A6469"/>
          <w:sz w:val="18"/>
        </w:rPr>
        <w:t xml:space="preserve">  [r2]</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1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Giannoudis PV, Pape HC, Schütz M. Lateral approach to the femoral shaft [Internet]. En: AO Surgery Reference. Davos: AO Foundation [consultado 2026 oct 12]. Disponible en: https://surgeryreference.aofoundation.org/orthopedic-trauma/adult-trauma/femoral-shaft/approach/lateral-approach </w:t>
      </w:r>
      <w:r>
        <w:rPr>
          <w:i/>
          <w:color w:val="5A6469"/>
          <w:sz w:val="17"/>
        </w:rPr>
        <w:t xml:space="preserve">(web-oficial · acceso abierto) </w:t>
      </w:r>
      <w:hyperlink r:id="rId11">
        <w:r>
          <w:rPr>
            <w:color w:val="0563C1"/>
            <w:u w:val="single"/>
            <w:sz w:val="18"/>
          </w:rPr>
          <w:t xml:space="preserve">https://surgeryreference.aofoundation.org/orthopedic-trauma/adult-trauma/femoral-shaft/approach/lateral-approach</w:t>
        </w:r>
      </w:hyperlink>
    </w:p>
    <w:p>
      <w:pPr>
        <w:spacing w:after="60"/>
        <w:ind w:left="510" w:hanging="510"/>
      </w:pPr>
      <w:r>
        <w:rPr>
          <w:b/>
          <w:sz w:val="18"/>
        </w:rPr>
        <w:t xml:space="preserve">[r2] </w:t>
      </w:r>
      <w:r>
        <w:rPr>
          <w:sz w:val="18"/>
        </w:rPr>
        <w:t xml:space="preserve">Pretterklieber B, Pablik E, Dorfmeister K, Pretterklieber ML. There are no safe areas for avoiding the perforating arteries along the proximal part of the femur: A word of caution. Clin Anat 2020;33(4):507-515. doi:10.1002/ca.23398 </w:t>
      </w:r>
      <w:r>
        <w:rPr>
          <w:i/>
          <w:color w:val="5A6469"/>
          <w:sz w:val="17"/>
        </w:rPr>
        <w:t xml:space="preserve">(serie · acceso abierto) </w:t>
      </w:r>
      <w:hyperlink r:id="rId17">
        <w:r>
          <w:rPr>
            <w:color w:val="0563C1"/>
            <w:u w:val="single"/>
            <w:sz w:val="18"/>
          </w:rPr>
          <w:t xml:space="preserve">https://doi.org/10.1002/ca.23398</w:t>
        </w:r>
      </w:hyperlink>
    </w:p>
    <w:p>
      <w:pPr>
        <w:spacing w:after="60"/>
        <w:ind w:left="510" w:hanging="510"/>
      </w:pPr>
      <w:r>
        <w:rPr>
          <w:b/>
          <w:sz w:val="18"/>
        </w:rPr>
        <w:t xml:space="preserve">[r8] </w:t>
      </w:r>
      <w:r>
        <w:rPr>
          <w:sz w:val="18"/>
        </w:rPr>
        <w:t xml:space="preserve">Denisiuk M, Afsari A. Femoral Shaft Fractures. En: StatPearls [Internet]. Treasure Island (FL): StatPearls Publishing; 2023 ene [consultado 2026 oct 12]. Disponible en: https://www.ncbi.nlm.nih.gov/books/NBK556057/ </w:t>
      </w:r>
      <w:r>
        <w:rPr>
          <w:i/>
          <w:color w:val="5A6469"/>
          <w:sz w:val="17"/>
        </w:rPr>
        <w:t xml:space="preserve">(libro-abierto · acceso abierto) </w:t>
      </w:r>
      <w:hyperlink r:id="rId18">
        <w:r>
          <w:rPr>
            <w:color w:val="0563C1"/>
            <w:u w:val="single"/>
            <w:sz w:val="18"/>
          </w:rPr>
          <w:t xml:space="preserve">https://www.ncbi.nlm.nih.gov/books/NBK556057/</w:t>
        </w:r>
      </w:hyperlink>
    </w:p>
    <w:p>
      <w:pPr>
        <w:spacing w:after="60"/>
        <w:ind w:left="510" w:hanging="510"/>
      </w:pPr>
      <w:r>
        <w:rPr>
          <w:b/>
          <w:sz w:val="18"/>
        </w:rPr>
        <w:t xml:space="preserve">[r9] </w:t>
      </w:r>
      <w:r>
        <w:rPr>
          <w:sz w:val="18"/>
        </w:rPr>
        <w:t xml:space="preserve">Grob K, Manestar M, Lang A, Ackland T, Gilbey H, Kuster MS. Effects of ligation of lateral intermuscular septum perforating vessels on blood supply to the femur. Injury 2015;46(12):2461-7. doi:10.1016/j.injury.2015.09.029 </w:t>
      </w:r>
      <w:r>
        <w:rPr>
          <w:i/>
          <w:color w:val="5A6469"/>
          <w:sz w:val="17"/>
        </w:rPr>
        <w:t xml:space="preserve">(serie · acceso resumen) </w:t>
      </w:r>
      <w:hyperlink r:id="rId19">
        <w:r>
          <w:rPr>
            <w:color w:val="0563C1"/>
            <w:u w:val="single"/>
            <w:sz w:val="18"/>
          </w:rPr>
          <w:t xml:space="preserve">https://doi.org/10.1016/j.injury.2015.09.029</w:t>
        </w:r>
      </w:hyperlink>
    </w:p>
    <w:p>
      <w:pPr>
        <w:spacing w:after="60"/>
        <w:ind w:left="510" w:hanging="510"/>
      </w:pPr>
      <w:r>
        <w:rPr>
          <w:b/>
          <w:sz w:val="18"/>
        </w:rPr>
        <w:t xml:space="preserve">[r10] </w:t>
      </w:r>
      <w:r>
        <w:rPr>
          <w:sz w:val="18"/>
        </w:rPr>
        <w:t xml:space="preserve">Gebhard F, Kregor P, Oliver C, Nousiainen MT. Lateral/anterolateral approach to the distal femur [Internet]. En: AO Surgery Reference. Davos: AO Foundation [consultado 2026 oct 12]. Disponible en: https://surgeryreference.aofoundation.org/orthopedic-trauma/adult-trauma/distal-femur/approach/lateral-anterolateral-approach-to-the-distal-femur </w:t>
      </w:r>
      <w:r>
        <w:rPr>
          <w:i/>
          <w:color w:val="5A6469"/>
          <w:sz w:val="17"/>
        </w:rPr>
        <w:t xml:space="preserve">(web-oficial · acceso abierto) </w:t>
      </w:r>
      <w:hyperlink r:id="rId12">
        <w:r>
          <w:rPr>
            <w:color w:val="0563C1"/>
            <w:u w:val="single"/>
            <w:sz w:val="18"/>
          </w:rPr>
          <w:t xml:space="preserve">https://surgeryreference.aofoundation.org/orthopedic-trauma/adult-trauma/distal-femur/approach/lateral-anterolateral-approach-to-the-distal-femur</w:t>
        </w:r>
      </w:hyperlink>
    </w:p>
    <w:p>
      <w:pPr>
        <w:spacing w:after="60"/>
        <w:ind w:left="510" w:hanging="510"/>
      </w:pPr>
      <w:r>
        <w:rPr>
          <w:b/>
          <w:sz w:val="18"/>
        </w:rPr>
        <w:t xml:space="preserve">[r14] </w:t>
      </w:r>
      <w:r>
        <w:rPr>
          <w:sz w:val="18"/>
        </w:rPr>
        <w:t xml:space="preserve">Apivatthakakul T, Oh JK. Limited lateral approach for implant insertion in the proximal femur [Internet]. En: AO Surgery Reference. Davos: AO Foundation [consultado 2026 oct 12]. Disponible en: https://surgeryreference.aofoundation.org/orthopedic-trauma/adult-trauma/proximal-femur/approach/limited-lateral-approach-for-implant-insertion </w:t>
      </w:r>
      <w:r>
        <w:rPr>
          <w:i/>
          <w:color w:val="5A6469"/>
          <w:sz w:val="17"/>
        </w:rPr>
        <w:t xml:space="preserve">(web-oficial · acceso abierto) </w:t>
      </w:r>
      <w:hyperlink r:id="rId13">
        <w:r>
          <w:rPr>
            <w:color w:val="0563C1"/>
            <w:u w:val="single"/>
            <w:sz w:val="18"/>
          </w:rPr>
          <w:t xml:space="preserve">https://surgeryreference.aofoundation.org/orthopedic-trauma/adult-trauma/proximal-femur/approach/limited-lateral-approach-for-implant-insertion</w:t>
        </w:r>
      </w:hyperlink>
    </w:p>
    <w:p>
      <w:pPr>
        <w:spacing w:after="60"/>
        <w:ind w:left="510" w:hanging="510"/>
      </w:pPr>
      <w:r>
        <w:rPr>
          <w:b/>
          <w:sz w:val="18"/>
        </w:rPr>
        <w:t xml:space="preserve">[r16] </w:t>
      </w:r>
      <w:r>
        <w:rPr>
          <w:sz w:val="18"/>
        </w:rPr>
        <w:t xml:space="preserve">Mahmoud SSS, Ahmed B, Hamid K, Milburn S, Baker P. Identification of the medial femoral safe zone for drilling during dynamic hip screw side plate fixation: A CT angiogram tracing of the profunda femoris artery. Injury 2019;50(3):720-726. doi:10.1016/j.injury.2019.01.010 </w:t>
      </w:r>
      <w:r>
        <w:rPr>
          <w:i/>
          <w:color w:val="5A6469"/>
          <w:sz w:val="17"/>
        </w:rPr>
        <w:t xml:space="preserve">(serie · acceso resumen) </w:t>
      </w:r>
      <w:hyperlink r:id="rId20">
        <w:r>
          <w:rPr>
            <w:color w:val="0563C1"/>
            <w:u w:val="single"/>
            <w:sz w:val="18"/>
          </w:rPr>
          <w:t xml:space="preserve">https://doi.org/10.1016/j.injury.2019.01.010</w:t>
        </w:r>
      </w:hyperlink>
    </w:p>
    <w:p>
      <w:pPr>
        <w:spacing w:after="60"/>
        <w:ind w:left="510" w:hanging="510"/>
      </w:pPr>
      <w:r>
        <w:rPr>
          <w:b/>
          <w:sz w:val="18"/>
        </w:rPr>
        <w:t xml:space="preserve">[r18] </w:t>
      </w:r>
      <w:r>
        <w:rPr>
          <w:sz w:val="18"/>
        </w:rPr>
        <w:t xml:space="preserve">Apivatthakakul T, Oh JK. Direct lateral approach to the proximal femur [Internet]. En: AO Surgery Reference. Davos: AO Foundation [consultado 2026 oct 12]. Disponible en: https://surgeryreference.aofoundation.org/orthopedic-trauma/adult-trauma/proximal-femur/approach/direct-lateral-approach </w:t>
      </w:r>
      <w:r>
        <w:rPr>
          <w:i/>
          <w:color w:val="5A6469"/>
          <w:sz w:val="17"/>
        </w:rPr>
        <w:t xml:space="preserve">(web-oficial · acceso abierto) </w:t>
      </w:r>
      <w:hyperlink r:id="rId21">
        <w:r>
          <w:rPr>
            <w:color w:val="0563C1"/>
            <w:u w:val="single"/>
            <w:sz w:val="18"/>
          </w:rPr>
          <w:t xml:space="preserve">https://surgeryreference.aofoundation.org/orthopedic-trauma/adult-trauma/proximal-femur/approach/direct-lateral-approach</w:t>
        </w:r>
      </w:hyperlink>
    </w:p>
    <w:p>
      <w:pPr>
        <w:spacing w:after="60"/>
        <w:ind w:left="510" w:hanging="510"/>
      </w:pPr>
      <w:r>
        <w:rPr>
          <w:b/>
          <w:sz w:val="18"/>
        </w:rPr>
        <w:t xml:space="preserve">[r19] </w:t>
      </w:r>
      <w:r>
        <w:rPr>
          <w:sz w:val="18"/>
        </w:rPr>
        <w:t xml:space="preserve">Basarir K, Ozsoy MH, Erdemli B, Bayramoglu A, Tuccar E, Dincel VE. The safe distance for the superior gluteal nerve in direct lateral approach to the hip and its relation with the femoral length: a cadaver study. Arch Orthop Trauma Surg 2008;128(7):645-50. doi:10.1007/s00402-007-0449-x </w:t>
      </w:r>
      <w:r>
        <w:rPr>
          <w:i/>
          <w:color w:val="5A6469"/>
          <w:sz w:val="17"/>
        </w:rPr>
        <w:t xml:space="preserve">(serie · acceso resumen) </w:t>
      </w:r>
      <w:hyperlink r:id="rId22">
        <w:r>
          <w:rPr>
            <w:color w:val="0563C1"/>
            <w:u w:val="single"/>
            <w:sz w:val="18"/>
          </w:rPr>
          <w:t xml:space="preserve">https://doi.org/10.1007/s00402-007-0449-x</w:t>
        </w:r>
      </w:hyperlink>
    </w:p>
    <w:p>
      <w:pPr>
        <w:spacing w:after="60"/>
        <w:ind w:left="510" w:hanging="510"/>
      </w:pPr>
      <w:r>
        <w:rPr>
          <w:b/>
          <w:sz w:val="18"/>
        </w:rPr>
        <w:t xml:space="preserve">[r20] </w:t>
      </w:r>
      <w:r>
        <w:rPr>
          <w:sz w:val="18"/>
        </w:rPr>
        <w:t xml:space="preserve">Gebhard F, Kregor P, Oliver C, Nousiainen MT. MIPO approach to the distal femur from lateral/anterolateral [Internet]. En: AO Surgery Reference. Davos: AO Foundation [consultado 2026 oct 12]. Disponible en: https://surgeryreference.aofoundation.org/orthopedic-trauma/adult-trauma/distal-femur/approach/mipo-approach-to-the-distal-femur-from-lateral-anterolateral </w:t>
      </w:r>
      <w:r>
        <w:rPr>
          <w:i/>
          <w:color w:val="5A6469"/>
          <w:sz w:val="17"/>
        </w:rPr>
        <w:t xml:space="preserve">(web-oficial · acceso abierto) </w:t>
      </w:r>
      <w:hyperlink r:id="rId14">
        <w:r>
          <w:rPr>
            <w:color w:val="0563C1"/>
            <w:u w:val="single"/>
            <w:sz w:val="18"/>
          </w:rPr>
          <w:t xml:space="preserve">https://surgeryreference.aofoundation.org/orthopedic-trauma/adult-trauma/distal-femur/approach/mipo-approach-to-the-distal-femur-from-lateral-anterolateral</w:t>
        </w:r>
      </w:hyperlink>
    </w:p>
    <w:p>
      <w:pPr>
        <w:spacing w:after="60"/>
        <w:ind w:left="510" w:hanging="510"/>
      </w:pPr>
      <w:r>
        <w:rPr>
          <w:b/>
          <w:sz w:val="18"/>
        </w:rPr>
        <w:t xml:space="preserve">[r21] </w:t>
      </w:r>
      <w:r>
        <w:rPr>
          <w:sz w:val="18"/>
        </w:rPr>
        <w:t xml:space="preserve">Manner M, Rösch B, Roy K. [Vascular injuries complicating osteosynthesis in proximal femur fractures]. Unfallchirurg 1999;102(3):227-31. doi:10.1007/s001130050395 </w:t>
      </w:r>
      <w:r>
        <w:rPr>
          <w:i/>
          <w:color w:val="5A6469"/>
          <w:sz w:val="17"/>
        </w:rPr>
        <w:t xml:space="preserve">(serie · acceso resumen) </w:t>
      </w:r>
      <w:hyperlink r:id="rId23">
        <w:r>
          <w:rPr>
            <w:color w:val="0563C1"/>
            <w:u w:val="single"/>
            <w:sz w:val="18"/>
          </w:rPr>
          <w:t xml:space="preserve">https://doi.org/10.1007/s001130050395</w:t>
        </w:r>
      </w:hyperlink>
    </w:p>
    <w:p>
      <w:pPr>
        <w:spacing w:after="60"/>
        <w:ind w:left="510" w:hanging="510"/>
      </w:pPr>
      <w:r>
        <w:rPr>
          <w:b/>
          <w:sz w:val="18"/>
        </w:rPr>
        <w:t xml:space="preserve">[r26] </w:t>
      </w:r>
      <w:r>
        <w:rPr>
          <w:sz w:val="18"/>
        </w:rPr>
        <w:t xml:space="preserve">Okada H, Kawamura K, Hasegawa H, Omokawa S, Mahakkanukrauh P, Tanaka Y. Anatomical Relations of the Perforators from the Descending Lateral Femoral Circumflex Artery and Vastus Lateralis Motor Nerve Branches. Plast Reconstr Surg Glob Open 2024;12(2):e5611. doi:10.1097/GOX.0000000000005611 </w:t>
      </w:r>
      <w:r>
        <w:rPr>
          <w:i/>
          <w:color w:val="5A6469"/>
          <w:sz w:val="17"/>
        </w:rPr>
        <w:t xml:space="preserve">(serie · acceso abierto) </w:t>
      </w:r>
      <w:hyperlink r:id="rId24">
        <w:r>
          <w:rPr>
            <w:color w:val="0563C1"/>
            <w:u w:val="single"/>
            <w:sz w:val="18"/>
          </w:rPr>
          <w:t xml:space="preserve">https://doi.org/10.1097/GOX.0000000000005611</w:t>
        </w:r>
      </w:hyperlink>
    </w:p>
    <w:p>
      <w:pPr>
        <w:pStyle w:val="Heading1"/>
      </w:pPr>
      <w:r>
        <w:t>Variantes y extensiones</w:t>
      </w:r>
    </w:p>
    <w:p>
      <w:r>
        <w:rPr/>
        <w:t>Cada ventana responde a una pregunta distinta: ¿necesito ver el foco, o solo insertar el implante? ¿Puedo reducir indirectamente? La tabla ordena las variantes de la más corta a la más extensa.</w:t>
      </w:r>
    </w:p>
    <w:p>
      <w:pPr>
        <w:keepNext/>
      </w:pPr>
      <w:r>
        <w:rPr>
          <w:b/>
          <w:color w:val="0F5F6B"/>
          <w:sz w:val="20"/>
        </w:rPr>
        <w:t>Tabla 2. Qué ventana abrir, para qué y qué detalle importa</w:t>
      </w:r>
      <w:r>
        <w:rPr>
          <w:color w:val="5A6469"/>
          <w:sz w:val="18"/>
        </w:rPr>
        <w:t xml:space="preserve">  [r14] [r1] [r25] [r18] [r10] [r20]</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Variante</w:t>
            </w:r>
          </w:p>
        </w:tc>
        <w:tc>
          <w:tcPr>
            <w:tcW w:type="dxa" w:w="2353"/>
            <w:shd w:val="clear" w:color="auto" w:fill="0F5F6B"/>
          </w:tcPr>
          <w:p>
            <w:r/>
            <w:r>
              <w:rPr>
                <w:b/>
                <w:color w:val="FFFFFF"/>
                <w:sz w:val="20"/>
              </w:rPr>
              <w:t>Para qué</w:t>
            </w:r>
          </w:p>
        </w:tc>
        <w:tc>
          <w:tcPr>
            <w:tcW w:type="dxa" w:w="2353"/>
            <w:shd w:val="clear" w:color="auto" w:fill="0F5F6B"/>
          </w:tcPr>
          <w:p>
            <w:r/>
            <w:r>
              <w:rPr>
                <w:b/>
                <w:color w:val="FFFFFF"/>
                <w:sz w:val="20"/>
              </w:rPr>
              <w:t>Cómo se traza</w:t>
            </w:r>
          </w:p>
        </w:tc>
        <w:tc>
          <w:tcPr>
            <w:tcW w:type="dxa" w:w="2353"/>
            <w:shd w:val="clear" w:color="auto" w:fill="0F5F6B"/>
          </w:tcPr>
          <w:p>
            <w:r/>
            <w:r>
              <w:rPr>
                <w:b/>
                <w:color w:val="FFFFFF"/>
                <w:sz w:val="20"/>
              </w:rPr>
              <w:t>Detalle que importa</w:t>
            </w:r>
          </w:p>
        </w:tc>
      </w:tr>
      <w:tr>
        <w:tc>
          <w:tcPr>
            <w:tcW w:type="dxa" w:w="2353"/>
          </w:tcPr>
          <w:p>
            <w:r/>
            <w:r>
              <w:rPr>
                <w:sz w:val="20"/>
              </w:rPr>
              <w:t>Lateral limitada (cadera)</w:t>
            </w:r>
          </w:p>
        </w:tc>
        <w:tc>
          <w:tcPr>
            <w:tcW w:type="dxa" w:w="2353"/>
          </w:tcPr>
          <w:p>
            <w:r/>
            <w:r>
              <w:rPr>
                <w:sz w:val="20"/>
              </w:rPr>
              <w:t>Insertar tornillo deslizante u otros tornillos tras reducción cerrada [r14]</w:t>
            </w:r>
          </w:p>
        </w:tc>
        <w:tc>
          <w:tcPr>
            <w:tcW w:type="dxa" w:w="2353"/>
          </w:tcPr>
          <w:p>
            <w:r/>
            <w:r>
              <w:rPr>
                <w:sz w:val="20"/>
              </w:rPr>
              <w:t>Centrada en el eje del cuello; con placa de 135° de dos orificios arranca unos centímetros sobre el trocánter y baja 10 cm [r14]</w:t>
            </w:r>
          </w:p>
        </w:tc>
        <w:tc>
          <w:tcPr>
            <w:tcW w:type="dxa" w:w="2353"/>
          </w:tcPr>
          <w:p>
            <w:r/>
            <w:r>
              <w:rPr>
                <w:sz w:val="20"/>
              </w:rPr>
              <w:t>Exponer solo lo necesario; las primeras perforantes aparecen si se baja más de 5 cm bajo la cresta del vasto [r14]</w:t>
            </w:r>
          </w:p>
        </w:tc>
      </w:tr>
      <w:tr>
        <w:tc>
          <w:tcPr>
            <w:tcW w:type="dxa" w:w="2353"/>
            <w:shd w:val="clear" w:color="auto" w:fill="EEF3F4"/>
          </w:tcPr>
          <w:p>
            <w:r/>
            <w:r>
              <w:rPr>
                <w:sz w:val="20"/>
              </w:rPr>
              <w:t>Lateral abierta de la diáfisis</w:t>
            </w:r>
          </w:p>
        </w:tc>
        <w:tc>
          <w:tcPr>
            <w:tcW w:type="dxa" w:w="2353"/>
            <w:shd w:val="clear" w:color="auto" w:fill="EEF3F4"/>
          </w:tcPr>
          <w:p>
            <w:r/>
            <w:r>
              <w:rPr>
                <w:sz w:val="20"/>
              </w:rPr>
              <w:t>Placa a cielo abierto</w:t>
            </w:r>
          </w:p>
        </w:tc>
        <w:tc>
          <w:tcPr>
            <w:tcW w:type="dxa" w:w="2353"/>
            <w:shd w:val="clear" w:color="auto" w:fill="EEF3F4"/>
          </w:tcPr>
          <w:p>
            <w:r/>
            <w:r>
              <w:rPr>
                <w:sz w:val="20"/>
              </w:rPr>
              <w:t>Línea trocánter mayor a epicóndilo lateral, largo según la fractura [r1]</w:t>
            </w:r>
          </w:p>
        </w:tc>
        <w:tc>
          <w:tcPr>
            <w:tcW w:type="dxa" w:w="2353"/>
            <w:shd w:val="clear" w:color="auto" w:fill="EEF3F4"/>
          </w:tcPr>
          <w:p>
            <w:r/>
            <w:r>
              <w:rPr>
                <w:sz w:val="20"/>
              </w:rPr>
              <w:t>Elevar el vasto del tabique, ligar perforantes, hueso extraperióstico [r1]</w:t>
            </w:r>
          </w:p>
        </w:tc>
      </w:tr>
      <w:tr>
        <w:tc>
          <w:tcPr>
            <w:tcW w:type="dxa" w:w="2353"/>
          </w:tcPr>
          <w:p>
            <w:r/>
            <w:r>
              <w:rPr>
                <w:sz w:val="20"/>
              </w:rPr>
              <w:t>Extensión subtrocantérica</w:t>
            </w:r>
          </w:p>
        </w:tc>
        <w:tc>
          <w:tcPr>
            <w:tcW w:type="dxa" w:w="2353"/>
          </w:tcPr>
          <w:p>
            <w:r/>
            <w:r>
              <w:rPr>
                <w:sz w:val="20"/>
              </w:rPr>
              <w:t>Fracturas subtrocantéricas y placas largas</w:t>
            </w:r>
          </w:p>
        </w:tc>
        <w:tc>
          <w:tcPr>
            <w:tcW w:type="dxa" w:w="2353"/>
          </w:tcPr>
          <w:p>
            <w:r/>
            <w:r>
              <w:rPr>
                <w:sz w:val="20"/>
              </w:rPr>
              <w:t>Incisión en L en el origen del vasto lateral; la rama vertical queda entre glúteo medio y vasto [r1][r25]</w:t>
            </w:r>
          </w:p>
        </w:tc>
        <w:tc>
          <w:tcPr>
            <w:tcW w:type="dxa" w:w="2353"/>
          </w:tcPr>
          <w:p>
            <w:r/>
            <w:r>
              <w:rPr>
                <w:sz w:val="20"/>
              </w:rPr>
              <w:t>El músculo se retrae hacia anterior y se despega con periostótomo [r1]</w:t>
            </w:r>
          </w:p>
        </w:tc>
      </w:tr>
      <w:tr>
        <w:tc>
          <w:tcPr>
            <w:tcW w:type="dxa" w:w="2353"/>
            <w:shd w:val="clear" w:color="auto" w:fill="EEF3F4"/>
          </w:tcPr>
          <w:p>
            <w:r/>
            <w:r>
              <w:rPr>
                <w:sz w:val="20"/>
              </w:rPr>
              <w:t>Extensión sobre el trocánter</w:t>
            </w:r>
          </w:p>
        </w:tc>
        <w:tc>
          <w:tcPr>
            <w:tcW w:type="dxa" w:w="2353"/>
            <w:shd w:val="clear" w:color="auto" w:fill="EEF3F4"/>
          </w:tcPr>
          <w:p>
            <w:r/>
            <w:r>
              <w:rPr>
                <w:sz w:val="20"/>
              </w:rPr>
              <w:t>Placa estabilizadora trocantérica</w:t>
            </w:r>
          </w:p>
        </w:tc>
        <w:tc>
          <w:tcPr>
            <w:tcW w:type="dxa" w:w="2353"/>
            <w:shd w:val="clear" w:color="auto" w:fill="EEF3F4"/>
          </w:tcPr>
          <w:p>
            <w:r/>
            <w:r>
              <w:rPr>
                <w:sz w:val="20"/>
              </w:rPr>
              <w:t>Hacia arriba, sin cambiar de plano, hasta ver la cara proximal del trocánter y dónde se inserta el glúteo medio [r14]</w:t>
            </w:r>
          </w:p>
        </w:tc>
        <w:tc>
          <w:tcPr>
            <w:tcW w:type="dxa" w:w="2353"/>
            <w:shd w:val="clear" w:color="auto" w:fill="EEF3F4"/>
          </w:tcPr>
          <w:p>
            <w:r/>
            <w:r>
              <w:rPr>
                <w:sz w:val="20"/>
              </w:rPr>
              <w:t>El nervio glúteo superior limita arriba: 3-5 cm sobre la punta del trocánter [r18]</w:t>
            </w:r>
          </w:p>
        </w:tc>
      </w:tr>
      <w:tr>
        <w:tc>
          <w:tcPr>
            <w:tcW w:type="dxa" w:w="2353"/>
          </w:tcPr>
          <w:p>
            <w:r/>
            <w:r>
              <w:rPr>
                <w:sz w:val="20"/>
              </w:rPr>
              <w:t>Extensión anterior hacia el cuello</w:t>
            </w:r>
          </w:p>
        </w:tc>
        <w:tc>
          <w:tcPr>
            <w:tcW w:type="dxa" w:w="2353"/>
          </w:tcPr>
          <w:p>
            <w:r/>
            <w:r>
              <w:rPr>
                <w:sz w:val="20"/>
              </w:rPr>
              <w:t>Acceso directo a una fractura del cuello</w:t>
            </w:r>
          </w:p>
        </w:tc>
        <w:tc>
          <w:tcPr>
            <w:tcW w:type="dxa" w:w="2353"/>
          </w:tcPr>
          <w:p>
            <w:r/>
            <w:r>
              <w:rPr>
                <w:sz w:val="20"/>
              </w:rPr>
              <w:t>Se prolonga hacia proximal y anterior, entre glúteo medio y tensor de la fascia lata [r14]</w:t>
            </w:r>
          </w:p>
        </w:tc>
        <w:tc>
          <w:tcPr>
            <w:tcW w:type="dxa" w:w="2353"/>
          </w:tcPr>
          <w:p>
            <w:r/>
            <w:r>
              <w:rPr>
                <w:sz w:val="20"/>
              </w:rPr>
              <w:t>Es el territorio del Watson-Jones (ver tema de cadera)</w:t>
            </w:r>
          </w:p>
        </w:tc>
      </w:tr>
      <w:tr>
        <w:tc>
          <w:tcPr>
            <w:tcW w:type="dxa" w:w="2353"/>
            <w:shd w:val="clear" w:color="auto" w:fill="EEF3F4"/>
          </w:tcPr>
          <w:p>
            <w:r/>
            <w:r>
              <w:rPr>
                <w:sz w:val="20"/>
              </w:rPr>
              <w:t>Ventana MIO / MIPO de la diáfisis</w:t>
            </w:r>
          </w:p>
        </w:tc>
        <w:tc>
          <w:tcPr>
            <w:tcW w:type="dxa" w:w="2353"/>
            <w:shd w:val="clear" w:color="auto" w:fill="EEF3F4"/>
          </w:tcPr>
          <w:p>
            <w:r/>
            <w:r>
              <w:rPr>
                <w:sz w:val="20"/>
              </w:rPr>
              <w:t>Placa submuscular con reducción indirecta</w:t>
            </w:r>
          </w:p>
        </w:tc>
        <w:tc>
          <w:tcPr>
            <w:tcW w:type="dxa" w:w="2353"/>
            <w:shd w:val="clear" w:color="auto" w:fill="EEF3F4"/>
          </w:tcPr>
          <w:p>
            <w:r/>
            <w:r>
              <w:rPr>
                <w:sz w:val="20"/>
              </w:rPr>
              <w:t>Incisión corta o en estoque sobre la misma línea; disección roma a través del vasto hasta el hueso [r25]</w:t>
            </w:r>
          </w:p>
        </w:tc>
        <w:tc>
          <w:tcPr>
            <w:tcW w:type="dxa" w:w="2353"/>
            <w:shd w:val="clear" w:color="auto" w:fill="EEF3F4"/>
          </w:tcPr>
          <w:p>
            <w:r/>
            <w:r>
              <w:rPr>
                <w:sz w:val="20"/>
              </w:rPr>
              <w:t>Dos Hohmann, uno anterior y otro posterior, para exponer y ubicar la placa [r25]</w:t>
            </w:r>
          </w:p>
        </w:tc>
      </w:tr>
      <w:tr>
        <w:tc>
          <w:tcPr>
            <w:tcW w:type="dxa" w:w="2353"/>
          </w:tcPr>
          <w:p>
            <w:r/>
            <w:r>
              <w:rPr>
                <w:sz w:val="20"/>
              </w:rPr>
              <w:t>Lateral abierta del fémur distal</w:t>
            </w:r>
          </w:p>
        </w:tc>
        <w:tc>
          <w:tcPr>
            <w:tcW w:type="dxa" w:w="2353"/>
          </w:tcPr>
          <w:p>
            <w:r/>
            <w:r>
              <w:rPr>
                <w:sz w:val="20"/>
              </w:rPr>
              <w:t>Fracturas articulares simples y placa lateral</w:t>
            </w:r>
          </w:p>
        </w:tc>
        <w:tc>
          <w:tcPr>
            <w:tcW w:type="dxa" w:w="2353"/>
          </w:tcPr>
          <w:p>
            <w:r/>
            <w:r>
              <w:rPr>
                <w:sz w:val="20"/>
              </w:rPr>
              <w:t>Piel desde el tubérculo de Gerdy curvada hacia proximal sobre el cóndilo; cintilla en una sola incisión [r10]</w:t>
            </w:r>
          </w:p>
        </w:tc>
        <w:tc>
          <w:tcPr>
            <w:tcW w:type="dxa" w:w="2353"/>
          </w:tcPr>
          <w:p>
            <w:r/>
            <w:r>
              <w:rPr>
                <w:sz w:val="20"/>
              </w:rPr>
              <w:t>Vasto con pocas fibras en los 8-10 cm distales; ligar perforantes; artrotomía sobre el tercio anterior del cóndilo si hay que ver la articulación [r10]</w:t>
            </w:r>
          </w:p>
        </w:tc>
      </w:tr>
      <w:tr>
        <w:tc>
          <w:tcPr>
            <w:tcW w:type="dxa" w:w="2353"/>
            <w:shd w:val="clear" w:color="auto" w:fill="EEF3F4"/>
          </w:tcPr>
          <w:p>
            <w:r/>
            <w:r>
              <w:rPr>
                <w:sz w:val="20"/>
              </w:rPr>
              <w:t>MIPO del fémur distal</w:t>
            </w:r>
          </w:p>
        </w:tc>
        <w:tc>
          <w:tcPr>
            <w:tcW w:type="dxa" w:w="2353"/>
            <w:shd w:val="clear" w:color="auto" w:fill="EEF3F4"/>
          </w:tcPr>
          <w:p>
            <w:r/>
            <w:r>
              <w:rPr>
                <w:sz w:val="20"/>
              </w:rPr>
              <w:t>Placa submuscular lateral</w:t>
            </w:r>
          </w:p>
        </w:tc>
        <w:tc>
          <w:tcPr>
            <w:tcW w:type="dxa" w:w="2353"/>
            <w:shd w:val="clear" w:color="auto" w:fill="EEF3F4"/>
          </w:tcPr>
          <w:p>
            <w:r/>
            <w:r>
              <w:rPr>
                <w:sz w:val="20"/>
              </w:rPr>
              <w:t>Versión corta de la vía lateral distal, más una ventana en la diáfisis media y tornillos por incisiones de 1,0-1,5 cm [r20]</w:t>
            </w:r>
          </w:p>
        </w:tc>
        <w:tc>
          <w:tcPr>
            <w:tcW w:type="dxa" w:w="2353"/>
            <w:shd w:val="clear" w:color="auto" w:fill="EEF3F4"/>
          </w:tcPr>
          <w:p>
            <w:r/>
            <w:r>
              <w:rPr>
                <w:sz w:val="20"/>
              </w:rPr>
              <w:t>Vasto casi sin tocar; coagular ramas geniculares laterales superiores [r20]</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Giannoudis PV, Pape HC, Schütz M. Lateral approach to the femoral shaft [Internet]. En: AO Surgery Reference. Davos: AO Foundation [consultado 2026 oct 12]. Disponible en: https://surgeryreference.aofoundation.org/orthopedic-trauma/adult-trauma/femoral-shaft/approach/lateral-approach </w:t>
      </w:r>
      <w:r>
        <w:rPr>
          <w:i/>
          <w:color w:val="5A6469"/>
          <w:sz w:val="17"/>
        </w:rPr>
        <w:t xml:space="preserve">(web-oficial · acceso abierto) </w:t>
      </w:r>
      <w:hyperlink r:id="rId11">
        <w:r>
          <w:rPr>
            <w:color w:val="0563C1"/>
            <w:u w:val="single"/>
            <w:sz w:val="18"/>
          </w:rPr>
          <w:t xml:space="preserve">https://surgeryreference.aofoundation.org/orthopedic-trauma/adult-trauma/femoral-shaft/approach/lateral-approach</w:t>
        </w:r>
      </w:hyperlink>
    </w:p>
    <w:p>
      <w:pPr>
        <w:spacing w:after="60"/>
        <w:ind w:left="510" w:hanging="510"/>
      </w:pPr>
      <w:r>
        <w:rPr>
          <w:b/>
          <w:sz w:val="18"/>
        </w:rPr>
        <w:t xml:space="preserve">[r10] </w:t>
      </w:r>
      <w:r>
        <w:rPr>
          <w:sz w:val="18"/>
        </w:rPr>
        <w:t xml:space="preserve">Gebhard F, Kregor P, Oliver C, Nousiainen MT. Lateral/anterolateral approach to the distal femur [Internet]. En: AO Surgery Reference. Davos: AO Foundation [consultado 2026 oct 12]. Disponible en: https://surgeryreference.aofoundation.org/orthopedic-trauma/adult-trauma/distal-femur/approach/lateral-anterolateral-approach-to-the-distal-femur </w:t>
      </w:r>
      <w:r>
        <w:rPr>
          <w:i/>
          <w:color w:val="5A6469"/>
          <w:sz w:val="17"/>
        </w:rPr>
        <w:t xml:space="preserve">(web-oficial · acceso abierto) </w:t>
      </w:r>
      <w:hyperlink r:id="rId12">
        <w:r>
          <w:rPr>
            <w:color w:val="0563C1"/>
            <w:u w:val="single"/>
            <w:sz w:val="18"/>
          </w:rPr>
          <w:t xml:space="preserve">https://surgeryreference.aofoundation.org/orthopedic-trauma/adult-trauma/distal-femur/approach/lateral-anterolateral-approach-to-the-distal-femur</w:t>
        </w:r>
      </w:hyperlink>
    </w:p>
    <w:p>
      <w:pPr>
        <w:spacing w:after="60"/>
        <w:ind w:left="510" w:hanging="510"/>
      </w:pPr>
      <w:r>
        <w:rPr>
          <w:b/>
          <w:sz w:val="18"/>
        </w:rPr>
        <w:t xml:space="preserve">[r14] </w:t>
      </w:r>
      <w:r>
        <w:rPr>
          <w:sz w:val="18"/>
        </w:rPr>
        <w:t xml:space="preserve">Apivatthakakul T, Oh JK. Limited lateral approach for implant insertion in the proximal femur [Internet]. En: AO Surgery Reference. Davos: AO Foundation [consultado 2026 oct 12]. Disponible en: https://surgeryreference.aofoundation.org/orthopedic-trauma/adult-trauma/proximal-femur/approach/limited-lateral-approach-for-implant-insertion </w:t>
      </w:r>
      <w:r>
        <w:rPr>
          <w:i/>
          <w:color w:val="5A6469"/>
          <w:sz w:val="17"/>
        </w:rPr>
        <w:t xml:space="preserve">(web-oficial · acceso abierto) </w:t>
      </w:r>
      <w:hyperlink r:id="rId13">
        <w:r>
          <w:rPr>
            <w:color w:val="0563C1"/>
            <w:u w:val="single"/>
            <w:sz w:val="18"/>
          </w:rPr>
          <w:t xml:space="preserve">https://surgeryreference.aofoundation.org/orthopedic-trauma/adult-trauma/proximal-femur/approach/limited-lateral-approach-for-implant-insertion</w:t>
        </w:r>
      </w:hyperlink>
    </w:p>
    <w:p>
      <w:pPr>
        <w:spacing w:after="60"/>
        <w:ind w:left="510" w:hanging="510"/>
      </w:pPr>
      <w:r>
        <w:rPr>
          <w:b/>
          <w:sz w:val="18"/>
        </w:rPr>
        <w:t xml:space="preserve">[r18] </w:t>
      </w:r>
      <w:r>
        <w:rPr>
          <w:sz w:val="18"/>
        </w:rPr>
        <w:t xml:space="preserve">Apivatthakakul T, Oh JK. Direct lateral approach to the proximal femur [Internet]. En: AO Surgery Reference. Davos: AO Foundation [consultado 2026 oct 12]. Disponible en: https://surgeryreference.aofoundation.org/orthopedic-trauma/adult-trauma/proximal-femur/approach/direct-lateral-approach </w:t>
      </w:r>
      <w:r>
        <w:rPr>
          <w:i/>
          <w:color w:val="5A6469"/>
          <w:sz w:val="17"/>
        </w:rPr>
        <w:t xml:space="preserve">(web-oficial · acceso abierto) </w:t>
      </w:r>
      <w:hyperlink r:id="rId21">
        <w:r>
          <w:rPr>
            <w:color w:val="0563C1"/>
            <w:u w:val="single"/>
            <w:sz w:val="18"/>
          </w:rPr>
          <w:t xml:space="preserve">https://surgeryreference.aofoundation.org/orthopedic-trauma/adult-trauma/proximal-femur/approach/direct-lateral-approach</w:t>
        </w:r>
      </w:hyperlink>
    </w:p>
    <w:p>
      <w:pPr>
        <w:spacing w:after="60"/>
        <w:ind w:left="510" w:hanging="510"/>
      </w:pPr>
      <w:r>
        <w:rPr>
          <w:b/>
          <w:sz w:val="18"/>
        </w:rPr>
        <w:t xml:space="preserve">[r20] </w:t>
      </w:r>
      <w:r>
        <w:rPr>
          <w:sz w:val="18"/>
        </w:rPr>
        <w:t xml:space="preserve">Gebhard F, Kregor P, Oliver C, Nousiainen MT. MIPO approach to the distal femur from lateral/anterolateral [Internet]. En: AO Surgery Reference. Davos: AO Foundation [consultado 2026 oct 12]. Disponible en: https://surgeryreference.aofoundation.org/orthopedic-trauma/adult-trauma/distal-femur/approach/mipo-approach-to-the-distal-femur-from-lateral-anterolateral </w:t>
      </w:r>
      <w:r>
        <w:rPr>
          <w:i/>
          <w:color w:val="5A6469"/>
          <w:sz w:val="17"/>
        </w:rPr>
        <w:t xml:space="preserve">(web-oficial · acceso abierto) </w:t>
      </w:r>
      <w:hyperlink r:id="rId14">
        <w:r>
          <w:rPr>
            <w:color w:val="0563C1"/>
            <w:u w:val="single"/>
            <w:sz w:val="18"/>
          </w:rPr>
          <w:t xml:space="preserve">https://surgeryreference.aofoundation.org/orthopedic-trauma/adult-trauma/distal-femur/approach/mipo-approach-to-the-distal-femur-from-lateral-anterolateral</w:t>
        </w:r>
      </w:hyperlink>
    </w:p>
    <w:p>
      <w:pPr>
        <w:spacing w:after="60"/>
        <w:ind w:left="510" w:hanging="510"/>
      </w:pPr>
      <w:r>
        <w:rPr>
          <w:b/>
          <w:sz w:val="18"/>
        </w:rPr>
        <w:t xml:space="preserve">[r25] </w:t>
      </w:r>
      <w:r>
        <w:rPr>
          <w:sz w:val="18"/>
        </w:rPr>
        <w:t xml:space="preserve">Giannoudis PV, Pape HC, Schütz M. Minimally invasive osteosynthesis approach to the femoral shaft [Internet]. En: AO Surgery Reference. Davos: AO Foundation [consultado 2026 oct 12]. Disponible en: https://surgeryreference.aofoundation.org/orthopedic-trauma/adult-trauma/femoral-shaft/approach/minimally-invasive-osteosynthesis-approach </w:t>
      </w:r>
      <w:r>
        <w:rPr>
          <w:i/>
          <w:color w:val="5A6469"/>
          <w:sz w:val="17"/>
        </w:rPr>
        <w:t xml:space="preserve">(web-oficial · acceso abierto) </w:t>
      </w:r>
      <w:hyperlink r:id="rId15">
        <w:r>
          <w:rPr>
            <w:color w:val="0563C1"/>
            <w:u w:val="single"/>
            <w:sz w:val="18"/>
          </w:rPr>
          <w:t xml:space="preserve">https://surgeryreference.aofoundation.org/orthopedic-trauma/adult-trauma/femoral-shaft/approach/minimally-invasive-osteosynthesis-approach</w:t>
        </w:r>
      </w:hyperlink>
    </w:p>
    <w:p>
      <w:pPr>
        <w:pStyle w:val="Heading1"/>
      </w:pPr>
      <w:r>
        <w:t>Biología de la entrada: qué le cuesta al hueso</w:t>
      </w:r>
    </w:p>
    <w:p>
      <w:r>
        <w:rPr/>
        <w:t>El fémur recibe sangre por dentro y por fuera. Las arterias nutricias, ramas de la femoral profunda, irrigan los 2/3 internos de la cortical y la médula; el periostio nutre el tercio externo [r8]. Una placa lateral convencional compromete sobre todo la irrigación externa, porque levantas músculo y periostio y ligas perforantes (razonamiento fisiológico / opinión experta).</w:t>
      </w:r>
    </w:p>
    <w:p>
      <w:r>
        <w:rPr>
          <w:b/>
        </w:rPr>
        <w:t>Qué dicen los cadáveres (sustituto, no desenlace clínico).</w:t>
      </w:r>
    </w:p>
    <w:p>
      <w:pPr>
        <w:pStyle w:val="ListBullet"/>
      </w:pPr>
      <w:r>
        <w:rPr/>
        <w:t>Primera pregunta práctica: ¿ligar las perforantes le quita sangre al fémur? En 6 cadáveres, con ligadura por vía subvasta lateral en un lado y el otro como control, la respuesta fue que no: las anastomosis cubrieron el déficit tanto en el canal como en el periostio, a condición de que la ligadura no quedara pegada al tabique y de no dejar expuesta la línea áspera sin motivo [r9].</w:t>
      </w:r>
    </w:p>
    <w:p>
      <w:pPr>
        <w:pStyle w:val="ListBullet"/>
      </w:pPr>
      <w:r>
        <w:rPr/>
        <w:t>Segunda pregunta: ¿MIPO cuida de verdad la irrigación? En 10 cadáveres frescos se comparó cada lado consigo mismo: placa lateral convencional en una pierna y MIPO por dos incisiones de 3 cm en la otra [r3]. Las perforantes y nutricias quedaron intactas en todas las piernas MIPO, mientras que la vía convencional las dañó en grado variable; la ventaja perióstica de MIPO se vio en los 10 cadáveres y la medular en 70 % [r3]. Otro estudio del mismo grupo, con otros implantes, apuntó en la misma dirección [r27].</w:t>
      </w:r>
    </w:p>
    <w:p>
      <w:r>
        <w:rPr>
          <w:b/>
        </w:rPr>
        <w:t>Y en el paciente.</w:t>
      </w:r>
      <w:r>
        <w:rPr/>
        <w:t xml:space="preserve"> La ventaja teórica no se vio con claridad en la diáfisis. En 40 fracturas diafisarias tratadas con placa, la submuscular no dio una ventaja clínica clara: costó más técnicamente y acumuló reducciones subóptimas (6 de 21, frente a 0 de 19 con placa abierta); en toda la serie hubo 2,5 % de no unión y 5 % de infección, las 2 infecciones en fracturas abiertas tipo III [r4]. La moraleja es doble: la biología importa, pero una fractura mal reducida consolida mal aunque la irrigación esté intacta (opinión experta).</w:t>
      </w:r>
    </w:p>
    <w:p>
      <w:r>
        <w:rPr>
          <w:b/>
        </w:rPr>
        <w:t>Rigidez de la construcción.</w:t>
      </w:r>
      <w:r>
        <w:rPr/>
        <w:t xml:space="preserve"> En fémur distal con placa bloqueada lateral, una revisión de 8 estudios y 1380 fracturas relacionó la no unión con construcciones muy rígidas, tornillos todos bloqueados y placa de acero, y señaló además la reducción abierta, frente a MIPO, como posible factor; los autores advierten heterogeneidad entre estudios [r28]. En el fémur la placa lateral queda del lado de tensión (enseñanza clásica / opinión experta).</w:t>
      </w:r>
    </w:p>
    <w:p>
      <w:pPr>
        <w:keepNext/>
      </w:pPr>
      <w:r>
        <w:rPr>
          <w:b/>
          <w:color w:val="0F5F6B"/>
          <w:sz w:val="20"/>
        </w:rPr>
        <w:t>Referencias de este bloque</w:t>
      </w:r>
    </w:p>
    <w:p>
      <w:pPr>
        <w:spacing w:after="60"/>
        <w:ind w:left="510" w:hanging="510"/>
      </w:pPr>
      <w:r>
        <w:rPr>
          <w:b/>
          <w:sz w:val="18"/>
        </w:rPr>
        <w:t xml:space="preserve">[r3] </w:t>
      </w:r>
      <w:r>
        <w:rPr>
          <w:sz w:val="18"/>
        </w:rPr>
        <w:t xml:space="preserve">Farouk O, Krettek C, Miclau T, Schandelmaier P, Guy P, Tscherne H. Minimally invasive plate osteosynthesis: does percutaneous plating disrupt femoral blood supply less than the traditional technique? J Orthop Trauma 1999;13(6):401-6. doi:10.1097/00005131-199908000-00002 </w:t>
      </w:r>
      <w:r>
        <w:rPr>
          <w:i/>
          <w:color w:val="5A6469"/>
          <w:sz w:val="17"/>
        </w:rPr>
        <w:t xml:space="preserve">(serie · acceso resumen) </w:t>
      </w:r>
      <w:hyperlink r:id="rId25">
        <w:r>
          <w:rPr>
            <w:color w:val="0563C1"/>
            <w:u w:val="single"/>
            <w:sz w:val="18"/>
          </w:rPr>
          <w:t xml:space="preserve">https://doi.org/10.1097/00005131-199908000-00002</w:t>
        </w:r>
      </w:hyperlink>
    </w:p>
    <w:p>
      <w:pPr>
        <w:spacing w:after="60"/>
        <w:ind w:left="510" w:hanging="510"/>
      </w:pPr>
      <w:r>
        <w:rPr>
          <w:b/>
          <w:sz w:val="18"/>
        </w:rPr>
        <w:t xml:space="preserve">[r4] </w:t>
      </w:r>
      <w:r>
        <w:rPr>
          <w:sz w:val="18"/>
        </w:rPr>
        <w:t xml:space="preserve">Zlowodzki M, Vogt D, Cole PA, Kregor PJ. Plating of femoral shaft fractures: open reduction and internal fixation versus submuscular fixation. J Trauma 2007;63(5):1061-5. doi:10.1097/TA.0b013e318154c0b4 </w:t>
      </w:r>
      <w:r>
        <w:rPr>
          <w:i/>
          <w:color w:val="5A6469"/>
          <w:sz w:val="17"/>
        </w:rPr>
        <w:t xml:space="preserve">(cohorte · acceso resumen) </w:t>
      </w:r>
      <w:hyperlink r:id="rId26">
        <w:r>
          <w:rPr>
            <w:color w:val="0563C1"/>
            <w:u w:val="single"/>
            <w:sz w:val="18"/>
          </w:rPr>
          <w:t xml:space="preserve">https://doi.org/10.1097/TA.0b013e318154c0b4</w:t>
        </w:r>
      </w:hyperlink>
    </w:p>
    <w:p>
      <w:pPr>
        <w:spacing w:after="60"/>
        <w:ind w:left="510" w:hanging="510"/>
      </w:pPr>
      <w:r>
        <w:rPr>
          <w:b/>
          <w:sz w:val="18"/>
        </w:rPr>
        <w:t xml:space="preserve">[r8] </w:t>
      </w:r>
      <w:r>
        <w:rPr>
          <w:sz w:val="18"/>
        </w:rPr>
        <w:t xml:space="preserve">Denisiuk M, Afsari A. Femoral Shaft Fractures. En: StatPearls [Internet]. Treasure Island (FL): StatPearls Publishing; 2023 ene [consultado 2026 oct 12]. Disponible en: https://www.ncbi.nlm.nih.gov/books/NBK556057/ </w:t>
      </w:r>
      <w:r>
        <w:rPr>
          <w:i/>
          <w:color w:val="5A6469"/>
          <w:sz w:val="17"/>
        </w:rPr>
        <w:t xml:space="preserve">(libro-abierto · acceso abierto) </w:t>
      </w:r>
      <w:hyperlink r:id="rId18">
        <w:r>
          <w:rPr>
            <w:color w:val="0563C1"/>
            <w:u w:val="single"/>
            <w:sz w:val="18"/>
          </w:rPr>
          <w:t xml:space="preserve">https://www.ncbi.nlm.nih.gov/books/NBK556057/</w:t>
        </w:r>
      </w:hyperlink>
    </w:p>
    <w:p>
      <w:pPr>
        <w:spacing w:after="60"/>
        <w:ind w:left="510" w:hanging="510"/>
      </w:pPr>
      <w:r>
        <w:rPr>
          <w:b/>
          <w:sz w:val="18"/>
        </w:rPr>
        <w:t xml:space="preserve">[r9] </w:t>
      </w:r>
      <w:r>
        <w:rPr>
          <w:sz w:val="18"/>
        </w:rPr>
        <w:t xml:space="preserve">Grob K, Manestar M, Lang A, Ackland T, Gilbey H, Kuster MS. Effects of ligation of lateral intermuscular septum perforating vessels on blood supply to the femur. Injury 2015;46(12):2461-7. doi:10.1016/j.injury.2015.09.029 </w:t>
      </w:r>
      <w:r>
        <w:rPr>
          <w:i/>
          <w:color w:val="5A6469"/>
          <w:sz w:val="17"/>
        </w:rPr>
        <w:t xml:space="preserve">(serie · acceso resumen) </w:t>
      </w:r>
      <w:hyperlink r:id="rId19">
        <w:r>
          <w:rPr>
            <w:color w:val="0563C1"/>
            <w:u w:val="single"/>
            <w:sz w:val="18"/>
          </w:rPr>
          <w:t xml:space="preserve">https://doi.org/10.1016/j.injury.2015.09.029</w:t>
        </w:r>
      </w:hyperlink>
    </w:p>
    <w:p>
      <w:pPr>
        <w:spacing w:after="60"/>
        <w:ind w:left="510" w:hanging="510"/>
      </w:pPr>
      <w:r>
        <w:rPr>
          <w:b/>
          <w:sz w:val="18"/>
        </w:rPr>
        <w:t xml:space="preserve">[r27] </w:t>
      </w:r>
      <w:r>
        <w:rPr>
          <w:sz w:val="18"/>
        </w:rPr>
        <w:t xml:space="preserve">Farouk O, Krettek C, Miclau T, Schandelmaier P, Tscherne H. Effects of percutaneous and conventional plating techniques on the blood supply to the femur. Arch Orthop Trauma Surg 1998;117(8):438-41. doi:10.1007/s004020050288 </w:t>
      </w:r>
      <w:r>
        <w:rPr>
          <w:i/>
          <w:color w:val="5A6469"/>
          <w:sz w:val="17"/>
        </w:rPr>
        <w:t xml:space="preserve">(serie · acceso resumen) </w:t>
      </w:r>
      <w:hyperlink r:id="rId27">
        <w:r>
          <w:rPr>
            <w:color w:val="0563C1"/>
            <w:u w:val="single"/>
            <w:sz w:val="18"/>
          </w:rPr>
          <w:t xml:space="preserve">https://doi.org/10.1007/s004020050288</w:t>
        </w:r>
      </w:hyperlink>
    </w:p>
    <w:p>
      <w:pPr>
        <w:spacing w:after="60"/>
        <w:ind w:left="510" w:hanging="510"/>
      </w:pPr>
      <w:r>
        <w:rPr>
          <w:b/>
          <w:sz w:val="18"/>
        </w:rPr>
        <w:t xml:space="preserve">[r28] </w:t>
      </w:r>
      <w:r>
        <w:rPr>
          <w:sz w:val="18"/>
        </w:rPr>
        <w:t xml:space="preserve">Wang MT, An VVG, Sivakumar BS. Non-union in lateral locked plating for distal femoral fractures: A systematic review. Injury 2019;50(11):1790-1794. doi:10.1016/j.injury.2019.07.012 </w:t>
      </w:r>
      <w:r>
        <w:rPr>
          <w:i/>
          <w:color w:val="5A6469"/>
          <w:sz w:val="17"/>
        </w:rPr>
        <w:t xml:space="preserve">(RS-MA · acceso resumen) </w:t>
      </w:r>
      <w:hyperlink r:id="rId28">
        <w:r>
          <w:rPr>
            <w:color w:val="0563C1"/>
            <w:u w:val="single"/>
            <w:sz w:val="18"/>
          </w:rPr>
          <w:t xml:space="preserve">https://doi.org/10.1016/j.injury.2019.07.012</w:t>
        </w:r>
      </w:hyperlink>
    </w:p>
    <w:p>
      <w:pPr>
        <w:pStyle w:val="Heading1"/>
      </w:pPr>
      <w:r>
        <w:t>Algoritmo: elegir la ventana lateral y el implante</w:t>
      </w:r>
    </w:p>
    <w:p>
      <w:r>
        <w:rPr/>
        <w:t>El algoritmo ordena la decisión por región y por objetivo. No sustituye el criterio del tutor ni la planificación de cada paciente; lo que no tiene estudio se rotula como opinión experta.</w:t>
      </w:r>
    </w:p>
    <w:p>
      <w:pPr>
        <w:keepNext/>
      </w:pPr>
      <w:r>
        <w:rPr>
          <w:b/>
          <w:color w:val="0F5F6B"/>
          <w:sz w:val="20"/>
        </w:rPr>
        <w:t>Algoritmo. Cómo decidir la ventana lateral del fémur</w:t>
      </w:r>
      <w:r>
        <w:rPr>
          <w:color w:val="5A6469"/>
          <w:sz w:val="18"/>
        </w:rPr>
        <w:t xml:space="preserve">  [r6] [r29] [r14] [r22] [r8] [r1] [r10] [r20] [r5]</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Vas a exponer el fémur por lateral: ¿qué región y qué objetivo?</w:t>
            </w:r>
          </w:p>
        </w:tc>
        <w:tc>
          <w:tcPr>
            <w:tcW w:type="dxa" w:w="4195"/>
          </w:tcPr>
          <w:p>
            <w:r/>
            <w:r>
              <w:rPr>
                <w:sz w:val="20"/>
              </w:rPr>
              <w:t>continuar → ¿Fractura pertrocantérea o subtrocantérea?</w:t>
            </w:r>
          </w:p>
        </w:tc>
      </w:tr>
      <w:tr>
        <w:tc>
          <w:tcPr>
            <w:tcW w:type="dxa" w:w="510"/>
            <w:shd w:val="clear" w:color="auto" w:fill="EEF3F4"/>
          </w:tcPr>
          <w:p>
            <w:r/>
            <w:r>
              <w:rPr>
                <w:sz w:val="20"/>
              </w:rPr>
              <w:t>2</w:t>
            </w:r>
          </w:p>
        </w:tc>
        <w:tc>
          <w:tcPr>
            <w:tcW w:type="dxa" w:w="1134"/>
            <w:shd w:val="clear" w:color="auto" w:fill="EEF3F4"/>
          </w:tcPr>
          <w:p>
            <w:r/>
            <w:r>
              <w:rPr>
                <w:sz w:val="20"/>
              </w:rPr>
              <w:t>Decisión</w:t>
            </w:r>
          </w:p>
        </w:tc>
        <w:tc>
          <w:tcPr>
            <w:tcW w:type="dxa" w:w="3572"/>
            <w:shd w:val="clear" w:color="auto" w:fill="EEF3F4"/>
          </w:tcPr>
          <w:p>
            <w:r/>
            <w:r>
              <w:rPr>
                <w:sz w:val="20"/>
              </w:rPr>
              <w:t>¿Fractura pertrocantérea o subtrocantérea?</w:t>
            </w:r>
          </w:p>
        </w:tc>
        <w:tc>
          <w:tcPr>
            <w:tcW w:type="dxa" w:w="4195"/>
            <w:shd w:val="clear" w:color="auto" w:fill="EEF3F4"/>
          </w:tcPr>
          <w:p>
            <w:r/>
            <w:r>
              <w:rPr>
                <w:sz w:val="20"/>
              </w:rPr>
              <w:t>sí → ¿Es subtrocantérea u oblicuidad inversa?; no → ¿Diáfisis o fémur distal, y el clavo se puede y se debe usar?</w:t>
            </w:r>
          </w:p>
        </w:tc>
      </w:tr>
      <w:tr>
        <w:tc>
          <w:tcPr>
            <w:tcW w:type="dxa" w:w="510"/>
          </w:tcPr>
          <w:p>
            <w:r/>
            <w:r>
              <w:rPr>
                <w:sz w:val="20"/>
              </w:rPr>
              <w:t>3</w:t>
            </w:r>
          </w:p>
        </w:tc>
        <w:tc>
          <w:tcPr>
            <w:tcW w:type="dxa" w:w="1134"/>
          </w:tcPr>
          <w:p>
            <w:r/>
            <w:r>
              <w:rPr>
                <w:sz w:val="20"/>
              </w:rPr>
              <w:t>Decisión</w:t>
            </w:r>
          </w:p>
        </w:tc>
        <w:tc>
          <w:tcPr>
            <w:tcW w:type="dxa" w:w="3572"/>
          </w:tcPr>
          <w:p>
            <w:r/>
            <w:r>
              <w:rPr>
                <w:sz w:val="20"/>
              </w:rPr>
              <w:t>¿Es subtrocantérea u oblicuidad inversa?</w:t>
            </w:r>
          </w:p>
        </w:tc>
        <w:tc>
          <w:tcPr>
            <w:tcW w:type="dxa" w:w="4195"/>
          </w:tcPr>
          <w:p>
            <w:r/>
            <w:r>
              <w:rPr>
                <w:sz w:val="20"/>
              </w:rPr>
              <w:t>sí → Clavo cefalomedular recomendado (fuerte); la ventana lateral queda para revisión, no unión o placa elegida por el equipo (opinión experta) [r6][r29]; no → ¿Pertrocantérea estable con pared lateral gruesa?</w:t>
            </w:r>
          </w:p>
        </w:tc>
      </w:tr>
      <w:tr>
        <w:tc>
          <w:tcPr>
            <w:tcW w:type="dxa" w:w="510"/>
            <w:shd w:val="clear" w:color="auto" w:fill="EEF3F4"/>
          </w:tcPr>
          <w:p>
            <w:r/>
            <w:r>
              <w:rPr>
                <w:sz w:val="20"/>
              </w:rPr>
              <w:t>4</w:t>
            </w:r>
          </w:p>
        </w:tc>
        <w:tc>
          <w:tcPr>
            <w:tcW w:type="dxa" w:w="1134"/>
            <w:shd w:val="clear" w:color="auto" w:fill="EEF3F4"/>
          </w:tcPr>
          <w:p>
            <w:r/>
            <w:r>
              <w:rPr>
                <w:sz w:val="20"/>
              </w:rPr>
              <w:t>Fin</w:t>
            </w:r>
          </w:p>
        </w:tc>
        <w:tc>
          <w:tcPr>
            <w:tcW w:type="dxa" w:w="3572"/>
            <w:shd w:val="clear" w:color="auto" w:fill="EEF3F4"/>
          </w:tcPr>
          <w:p>
            <w:r/>
            <w:r>
              <w:rPr>
                <w:sz w:val="20"/>
              </w:rPr>
              <w:t>Clavo cefalomedular recomendado (fuerte); la ventana lateral queda para revisión, no unión o placa elegida por el equipo (opinión experta) [r6][r29]</w:t>
            </w:r>
          </w:p>
        </w:tc>
        <w:tc>
          <w:tcPr>
            <w:tcW w:type="dxa" w:w="4195"/>
            <w:shd w:val="clear" w:color="auto" w:fill="EEF3F4"/>
          </w:tcPr>
          <w:p>
            <w:r/>
            <w:r>
              <w:rPr>
                <w:sz w:val="20"/>
              </w:rPr>
              <w:t>—</w:t>
            </w:r>
          </w:p>
        </w:tc>
      </w:tr>
      <w:tr>
        <w:tc>
          <w:tcPr>
            <w:tcW w:type="dxa" w:w="510"/>
          </w:tcPr>
          <w:p>
            <w:r/>
            <w:r>
              <w:rPr>
                <w:sz w:val="20"/>
              </w:rPr>
              <w:t>5</w:t>
            </w:r>
          </w:p>
        </w:tc>
        <w:tc>
          <w:tcPr>
            <w:tcW w:type="dxa" w:w="1134"/>
          </w:tcPr>
          <w:p>
            <w:r/>
            <w:r>
              <w:rPr>
                <w:sz w:val="20"/>
              </w:rPr>
              <w:t>Decisión</w:t>
            </w:r>
          </w:p>
        </w:tc>
        <w:tc>
          <w:tcPr>
            <w:tcW w:type="dxa" w:w="3572"/>
          </w:tcPr>
          <w:p>
            <w:r/>
            <w:r>
              <w:rPr>
                <w:sz w:val="20"/>
              </w:rPr>
              <w:t>¿Pertrocantérea estable con pared lateral gruesa?</w:t>
            </w:r>
          </w:p>
        </w:tc>
        <w:tc>
          <w:tcPr>
            <w:tcW w:type="dxa" w:w="4195"/>
          </w:tcPr>
          <w:p>
            <w:r/>
            <w:r>
              <w:rPr>
                <w:sz w:val="20"/>
              </w:rPr>
              <w:t>sí → Tornillo deslizante por ventana lateral limitada, o clavo: ambos recomendados; espera perforantes si bajas más allá de la cresta del vasto lateral [r6][r14]; no → Inestable: dispositivo cefalomedular [r6]. Pared lateral menor de 20,5 mm: no dejar solo DHS [r22]</w:t>
            </w:r>
          </w:p>
        </w:tc>
      </w:tr>
      <w:tr>
        <w:tc>
          <w:tcPr>
            <w:tcW w:type="dxa" w:w="510"/>
            <w:shd w:val="clear" w:color="auto" w:fill="EEF3F4"/>
          </w:tcPr>
          <w:p>
            <w:r/>
            <w:r>
              <w:rPr>
                <w:sz w:val="20"/>
              </w:rPr>
              <w:t>6</w:t>
            </w:r>
          </w:p>
        </w:tc>
        <w:tc>
          <w:tcPr>
            <w:tcW w:type="dxa" w:w="1134"/>
            <w:shd w:val="clear" w:color="auto" w:fill="EEF3F4"/>
          </w:tcPr>
          <w:p>
            <w:r/>
            <w:r>
              <w:rPr>
                <w:sz w:val="20"/>
              </w:rPr>
              <w:t>Acción</w:t>
            </w:r>
          </w:p>
        </w:tc>
        <w:tc>
          <w:tcPr>
            <w:tcW w:type="dxa" w:w="3572"/>
            <w:shd w:val="clear" w:color="auto" w:fill="EEF3F4"/>
          </w:tcPr>
          <w:p>
            <w:r/>
            <w:r>
              <w:rPr>
                <w:sz w:val="20"/>
              </w:rPr>
              <w:t>Tornillo deslizante por ventana lateral limitada, o clavo: ambos recomendados; espera perforantes si bajas más allá de la cresta del vasto lateral [r6][r14]</w:t>
            </w:r>
          </w:p>
        </w:tc>
        <w:tc>
          <w:tcPr>
            <w:tcW w:type="dxa" w:w="4195"/>
            <w:shd w:val="clear" w:color="auto" w:fill="EEF3F4"/>
          </w:tcPr>
          <w:p>
            <w:r/>
            <w:r>
              <w:rPr>
                <w:sz w:val="20"/>
              </w:rPr>
              <w:t>continuar → Cierre por planos: vasto, fascia lata o cintilla, subcutáneo y piel [r1][r10]</w:t>
            </w:r>
          </w:p>
        </w:tc>
      </w:tr>
      <w:tr>
        <w:tc>
          <w:tcPr>
            <w:tcW w:type="dxa" w:w="510"/>
          </w:tcPr>
          <w:p>
            <w:r/>
            <w:r>
              <w:rPr>
                <w:sz w:val="20"/>
              </w:rPr>
              <w:t>7</w:t>
            </w:r>
          </w:p>
        </w:tc>
        <w:tc>
          <w:tcPr>
            <w:tcW w:type="dxa" w:w="1134"/>
          </w:tcPr>
          <w:p>
            <w:r/>
            <w:r>
              <w:rPr>
                <w:sz w:val="20"/>
              </w:rPr>
              <w:t>Fin</w:t>
            </w:r>
          </w:p>
        </w:tc>
        <w:tc>
          <w:tcPr>
            <w:tcW w:type="dxa" w:w="3572"/>
          </w:tcPr>
          <w:p>
            <w:r/>
            <w:r>
              <w:rPr>
                <w:sz w:val="20"/>
              </w:rPr>
              <w:t>Inestable: dispositivo cefalomedular [r6]. Pared lateral menor de 20,5 mm: no dejar solo DHS [r22]</w:t>
            </w:r>
          </w:p>
        </w:tc>
        <w:tc>
          <w:tcPr>
            <w:tcW w:type="dxa" w:w="4195"/>
          </w:tcPr>
          <w:p>
            <w:r/>
            <w:r>
              <w:rPr>
                <w:sz w:val="20"/>
              </w:rPr>
              <w:t>—</w:t>
            </w:r>
          </w:p>
        </w:tc>
      </w:tr>
      <w:tr>
        <w:tc>
          <w:tcPr>
            <w:tcW w:type="dxa" w:w="510"/>
            <w:shd w:val="clear" w:color="auto" w:fill="EEF3F4"/>
          </w:tcPr>
          <w:p>
            <w:r/>
            <w:r>
              <w:rPr>
                <w:sz w:val="20"/>
              </w:rPr>
              <w:t>8</w:t>
            </w:r>
          </w:p>
        </w:tc>
        <w:tc>
          <w:tcPr>
            <w:tcW w:type="dxa" w:w="1134"/>
            <w:shd w:val="clear" w:color="auto" w:fill="EEF3F4"/>
          </w:tcPr>
          <w:p>
            <w:r/>
            <w:r>
              <w:rPr>
                <w:sz w:val="20"/>
              </w:rPr>
              <w:t>Decisión</w:t>
            </w:r>
          </w:p>
        </w:tc>
        <w:tc>
          <w:tcPr>
            <w:tcW w:type="dxa" w:w="3572"/>
            <w:shd w:val="clear" w:color="auto" w:fill="EEF3F4"/>
          </w:tcPr>
          <w:p>
            <w:r/>
            <w:r>
              <w:rPr>
                <w:sz w:val="20"/>
              </w:rPr>
              <w:t>¿Diáfisis o fémur distal, y el clavo se puede y se debe usar?</w:t>
            </w:r>
          </w:p>
        </w:tc>
        <w:tc>
          <w:tcPr>
            <w:tcW w:type="dxa" w:w="4195"/>
            <w:shd w:val="clear" w:color="auto" w:fill="EEF3F4"/>
          </w:tcPr>
          <w:p>
            <w:r/>
            <w:r>
              <w:rPr>
                <w:sz w:val="20"/>
              </w:rPr>
              <w:t>sí → Clavo intramedular: es la opción habitual cuando el paciente está estable desde el punto de vista fisiológico [r8]; no → ¿Necesitas ver el foco o la articulación, o comprimir (articular, no unión, fractura simple)? (opinión experta)</w:t>
            </w:r>
          </w:p>
        </w:tc>
      </w:tr>
      <w:tr>
        <w:tc>
          <w:tcPr>
            <w:tcW w:type="dxa" w:w="510"/>
          </w:tcPr>
          <w:p>
            <w:r/>
            <w:r>
              <w:rPr>
                <w:sz w:val="20"/>
              </w:rPr>
              <w:t>9</w:t>
            </w:r>
          </w:p>
        </w:tc>
        <w:tc>
          <w:tcPr>
            <w:tcW w:type="dxa" w:w="1134"/>
          </w:tcPr>
          <w:p>
            <w:r/>
            <w:r>
              <w:rPr>
                <w:sz w:val="20"/>
              </w:rPr>
              <w:t>Fin</w:t>
            </w:r>
          </w:p>
        </w:tc>
        <w:tc>
          <w:tcPr>
            <w:tcW w:type="dxa" w:w="3572"/>
          </w:tcPr>
          <w:p>
            <w:r/>
            <w:r>
              <w:rPr>
                <w:sz w:val="20"/>
              </w:rPr>
              <w:t>Clavo intramedular: es la opción habitual cuando el paciente está estable desde el punto de vista fisiológico [r8]</w:t>
            </w:r>
          </w:p>
        </w:tc>
        <w:tc>
          <w:tcPr>
            <w:tcW w:type="dxa" w:w="4195"/>
          </w:tcPr>
          <w:p>
            <w:r/>
            <w:r>
              <w:rPr>
                <w:sz w:val="20"/>
              </w:rPr>
              <w:t>—</w:t>
            </w:r>
          </w:p>
        </w:tc>
      </w:tr>
      <w:tr>
        <w:tc>
          <w:tcPr>
            <w:tcW w:type="dxa" w:w="510"/>
            <w:shd w:val="clear" w:color="auto" w:fill="EEF3F4"/>
          </w:tcPr>
          <w:p>
            <w:r/>
            <w:r>
              <w:rPr>
                <w:sz w:val="20"/>
              </w:rPr>
              <w:t>10</w:t>
            </w:r>
          </w:p>
        </w:tc>
        <w:tc>
          <w:tcPr>
            <w:tcW w:type="dxa" w:w="1134"/>
            <w:shd w:val="clear" w:color="auto" w:fill="EEF3F4"/>
          </w:tcPr>
          <w:p>
            <w:r/>
            <w:r>
              <w:rPr>
                <w:sz w:val="20"/>
              </w:rPr>
              <w:t>Decisión</w:t>
            </w:r>
          </w:p>
        </w:tc>
        <w:tc>
          <w:tcPr>
            <w:tcW w:type="dxa" w:w="3572"/>
            <w:shd w:val="clear" w:color="auto" w:fill="EEF3F4"/>
          </w:tcPr>
          <w:p>
            <w:r/>
            <w:r>
              <w:rPr>
                <w:sz w:val="20"/>
              </w:rPr>
              <w:t>¿Necesitas ver el foco o la articulación, o comprimir (articular, no unión, fractura simple)? (opinión experta)</w:t>
            </w:r>
          </w:p>
        </w:tc>
        <w:tc>
          <w:tcPr>
            <w:tcW w:type="dxa" w:w="4195"/>
            <w:shd w:val="clear" w:color="auto" w:fill="EEF3F4"/>
          </w:tcPr>
          <w:p>
            <w:r/>
            <w:r>
              <w:rPr>
                <w:sz w:val="20"/>
              </w:rPr>
              <w:t>sí → Placa abierta: elevar el vasto del tabique, ligar perforantes y exponer solo lo necesario [r1][r10]; no → MIPO: ventana corta, túnel submuscular y tornillos por incisiones de 1,0-1,5 cm; comparar longitud, alineación y rotación con el lado sano [r20][r5]</w:t>
            </w:r>
          </w:p>
        </w:tc>
      </w:tr>
      <w:tr>
        <w:tc>
          <w:tcPr>
            <w:tcW w:type="dxa" w:w="510"/>
          </w:tcPr>
          <w:p>
            <w:r/>
            <w:r>
              <w:rPr>
                <w:sz w:val="20"/>
              </w:rPr>
              <w:t>11</w:t>
            </w:r>
          </w:p>
        </w:tc>
        <w:tc>
          <w:tcPr>
            <w:tcW w:type="dxa" w:w="1134"/>
          </w:tcPr>
          <w:p>
            <w:r/>
            <w:r>
              <w:rPr>
                <w:sz w:val="20"/>
              </w:rPr>
              <w:t>Acción</w:t>
            </w:r>
          </w:p>
        </w:tc>
        <w:tc>
          <w:tcPr>
            <w:tcW w:type="dxa" w:w="3572"/>
          </w:tcPr>
          <w:p>
            <w:r/>
            <w:r>
              <w:rPr>
                <w:sz w:val="20"/>
              </w:rPr>
              <w:t>Placa abierta: elevar el vasto del tabique, ligar perforantes y exponer solo lo necesario [r1][r10]</w:t>
            </w:r>
          </w:p>
        </w:tc>
        <w:tc>
          <w:tcPr>
            <w:tcW w:type="dxa" w:w="4195"/>
          </w:tcPr>
          <w:p>
            <w:r/>
            <w:r>
              <w:rPr>
                <w:sz w:val="20"/>
              </w:rPr>
              <w:t>continuar → Cierre por planos: vasto, fascia lata o cintilla, subcutáneo y piel [r1][r10]</w:t>
            </w:r>
          </w:p>
        </w:tc>
      </w:tr>
      <w:tr>
        <w:tc>
          <w:tcPr>
            <w:tcW w:type="dxa" w:w="510"/>
            <w:shd w:val="clear" w:color="auto" w:fill="EEF3F4"/>
          </w:tcPr>
          <w:p>
            <w:r/>
            <w:r>
              <w:rPr>
                <w:sz w:val="20"/>
              </w:rPr>
              <w:t>12</w:t>
            </w:r>
          </w:p>
        </w:tc>
        <w:tc>
          <w:tcPr>
            <w:tcW w:type="dxa" w:w="1134"/>
            <w:shd w:val="clear" w:color="auto" w:fill="EEF3F4"/>
          </w:tcPr>
          <w:p>
            <w:r/>
            <w:r>
              <w:rPr>
                <w:sz w:val="20"/>
              </w:rPr>
              <w:t>Acción</w:t>
            </w:r>
          </w:p>
        </w:tc>
        <w:tc>
          <w:tcPr>
            <w:tcW w:type="dxa" w:w="3572"/>
            <w:shd w:val="clear" w:color="auto" w:fill="EEF3F4"/>
          </w:tcPr>
          <w:p>
            <w:r/>
            <w:r>
              <w:rPr>
                <w:sz w:val="20"/>
              </w:rPr>
              <w:t>MIPO: ventana corta, túnel submuscular y tornillos por incisiones de 1,0-1,5 cm; comparar longitud, alineación y rotación con el lado sano [r20][r5]</w:t>
            </w:r>
          </w:p>
        </w:tc>
        <w:tc>
          <w:tcPr>
            <w:tcW w:type="dxa" w:w="4195"/>
            <w:shd w:val="clear" w:color="auto" w:fill="EEF3F4"/>
          </w:tcPr>
          <w:p>
            <w:r/>
            <w:r>
              <w:rPr>
                <w:sz w:val="20"/>
              </w:rPr>
              <w:t>continuar → Cierre por planos: vasto, fascia lata o cintilla, subcutáneo y piel [r1][r10]</w:t>
            </w:r>
          </w:p>
        </w:tc>
      </w:tr>
      <w:tr>
        <w:tc>
          <w:tcPr>
            <w:tcW w:type="dxa" w:w="510"/>
          </w:tcPr>
          <w:p>
            <w:r/>
            <w:r>
              <w:rPr>
                <w:sz w:val="20"/>
              </w:rPr>
              <w:t>13</w:t>
            </w:r>
          </w:p>
        </w:tc>
        <w:tc>
          <w:tcPr>
            <w:tcW w:type="dxa" w:w="1134"/>
          </w:tcPr>
          <w:p>
            <w:r/>
            <w:r>
              <w:rPr>
                <w:sz w:val="20"/>
              </w:rPr>
              <w:t>Fin</w:t>
            </w:r>
          </w:p>
        </w:tc>
        <w:tc>
          <w:tcPr>
            <w:tcW w:type="dxa" w:w="3572"/>
          </w:tcPr>
          <w:p>
            <w:r/>
            <w:r>
              <w:rPr>
                <w:sz w:val="20"/>
              </w:rPr>
              <w:t>Cierre por planos: vasto, fascia lata o cintilla, subcutáneo y piel [r1][r10]</w:t>
            </w:r>
          </w:p>
        </w:tc>
        <w:tc>
          <w:tcPr>
            <w:tcW w:type="dxa" w:w="4195"/>
          </w:tcPr>
          <w:p>
            <w:r/>
            <w:r>
              <w:rPr>
                <w:sz w:val="20"/>
              </w:rPr>
              <w:t>—</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Giannoudis PV, Pape HC, Schütz M. Lateral approach to the femoral shaft [Internet]. En: AO Surgery Reference. Davos: AO Foundation [consultado 2026 oct 12]. Disponible en: https://surgeryreference.aofoundation.org/orthopedic-trauma/adult-trauma/femoral-shaft/approach/lateral-approach </w:t>
      </w:r>
      <w:r>
        <w:rPr>
          <w:i/>
          <w:color w:val="5A6469"/>
          <w:sz w:val="17"/>
        </w:rPr>
        <w:t xml:space="preserve">(web-oficial · acceso abierto) </w:t>
      </w:r>
      <w:hyperlink r:id="rId11">
        <w:r>
          <w:rPr>
            <w:color w:val="0563C1"/>
            <w:u w:val="single"/>
            <w:sz w:val="18"/>
          </w:rPr>
          <w:t xml:space="preserve">https://surgeryreference.aofoundation.org/orthopedic-trauma/adult-trauma/femoral-shaft/approach/lateral-approach</w:t>
        </w:r>
      </w:hyperlink>
    </w:p>
    <w:p>
      <w:pPr>
        <w:spacing w:after="60"/>
        <w:ind w:left="510" w:hanging="510"/>
      </w:pPr>
      <w:r>
        <w:rPr>
          <w:b/>
          <w:sz w:val="18"/>
        </w:rPr>
        <w:t xml:space="preserve">[r5] </w:t>
      </w:r>
      <w:r>
        <w:rPr>
          <w:sz w:val="18"/>
        </w:rPr>
        <w:t xml:space="preserve">Kim JW, Oh CW, Oh JK, Park IH, Kyung HS, Park KH, et al. Malalignment after minimally invasive plate osteosynthesis in distal femoral fractures. Injury 2017;48(3):751-757. doi:10.1016/j.injury.2017.01.019 </w:t>
      </w:r>
      <w:r>
        <w:rPr>
          <w:i/>
          <w:color w:val="5A6469"/>
          <w:sz w:val="17"/>
        </w:rPr>
        <w:t xml:space="preserve">(serie · acceso resumen) </w:t>
      </w:r>
      <w:hyperlink r:id="rId29">
        <w:r>
          <w:rPr>
            <w:color w:val="0563C1"/>
            <w:u w:val="single"/>
            <w:sz w:val="18"/>
          </w:rPr>
          <w:t xml:space="preserve">https://doi.org/10.1016/j.injury.2017.01.019</w:t>
        </w:r>
      </w:hyperlink>
    </w:p>
    <w:p>
      <w:pPr>
        <w:spacing w:after="60"/>
        <w:ind w:left="510" w:hanging="510"/>
      </w:pPr>
      <w:r>
        <w:rPr>
          <w:b/>
          <w:sz w:val="18"/>
        </w:rPr>
        <w:t xml:space="preserve">[r6] </w:t>
      </w:r>
      <w:r>
        <w:rPr>
          <w:sz w:val="18"/>
        </w:rPr>
        <w:t xml:space="preserve">American Academy of Orthopaedic Surgeons. Management of Hip Fractures in Older Adults: Evidence-Based Clinical Practice Guideline [Internet]. Rosemont (IL): AAOS; 2021 dic 3 [consultado 2026 oct 12]. Disponible en: https://www.aaos.org/hipfxcpg </w:t>
      </w:r>
      <w:r>
        <w:rPr>
          <w:i/>
          <w:color w:val="5A6469"/>
          <w:sz w:val="17"/>
        </w:rPr>
        <w:t xml:space="preserve">(guia · acceso abierto) </w:t>
      </w:r>
      <w:hyperlink r:id="rId30">
        <w:r>
          <w:rPr>
            <w:color w:val="0563C1"/>
            <w:u w:val="single"/>
            <w:sz w:val="18"/>
          </w:rPr>
          <w:t xml:space="preserve">https://www.aaos.org/hipfxcpg</w:t>
        </w:r>
      </w:hyperlink>
    </w:p>
    <w:p>
      <w:pPr>
        <w:spacing w:after="60"/>
        <w:ind w:left="510" w:hanging="510"/>
      </w:pPr>
      <w:r>
        <w:rPr>
          <w:b/>
          <w:sz w:val="18"/>
        </w:rPr>
        <w:t xml:space="preserve">[r8] </w:t>
      </w:r>
      <w:r>
        <w:rPr>
          <w:sz w:val="18"/>
        </w:rPr>
        <w:t xml:space="preserve">Denisiuk M, Afsari A. Femoral Shaft Fractures. En: StatPearls [Internet]. Treasure Island (FL): StatPearls Publishing; 2023 ene [consultado 2026 oct 12]. Disponible en: https://www.ncbi.nlm.nih.gov/books/NBK556057/ </w:t>
      </w:r>
      <w:r>
        <w:rPr>
          <w:i/>
          <w:color w:val="5A6469"/>
          <w:sz w:val="17"/>
        </w:rPr>
        <w:t xml:space="preserve">(libro-abierto · acceso abierto) </w:t>
      </w:r>
      <w:hyperlink r:id="rId18">
        <w:r>
          <w:rPr>
            <w:color w:val="0563C1"/>
            <w:u w:val="single"/>
            <w:sz w:val="18"/>
          </w:rPr>
          <w:t xml:space="preserve">https://www.ncbi.nlm.nih.gov/books/NBK556057/</w:t>
        </w:r>
      </w:hyperlink>
    </w:p>
    <w:p>
      <w:pPr>
        <w:spacing w:after="60"/>
        <w:ind w:left="510" w:hanging="510"/>
      </w:pPr>
      <w:r>
        <w:rPr>
          <w:b/>
          <w:sz w:val="18"/>
        </w:rPr>
        <w:t xml:space="preserve">[r10] </w:t>
      </w:r>
      <w:r>
        <w:rPr>
          <w:sz w:val="18"/>
        </w:rPr>
        <w:t xml:space="preserve">Gebhard F, Kregor P, Oliver C, Nousiainen MT. Lateral/anterolateral approach to the distal femur [Internet]. En: AO Surgery Reference. Davos: AO Foundation [consultado 2026 oct 12]. Disponible en: https://surgeryreference.aofoundation.org/orthopedic-trauma/adult-trauma/distal-femur/approach/lateral-anterolateral-approach-to-the-distal-femur </w:t>
      </w:r>
      <w:r>
        <w:rPr>
          <w:i/>
          <w:color w:val="5A6469"/>
          <w:sz w:val="17"/>
        </w:rPr>
        <w:t xml:space="preserve">(web-oficial · acceso abierto) </w:t>
      </w:r>
      <w:hyperlink r:id="rId12">
        <w:r>
          <w:rPr>
            <w:color w:val="0563C1"/>
            <w:u w:val="single"/>
            <w:sz w:val="18"/>
          </w:rPr>
          <w:t xml:space="preserve">https://surgeryreference.aofoundation.org/orthopedic-trauma/adult-trauma/distal-femur/approach/lateral-anterolateral-approach-to-the-distal-femur</w:t>
        </w:r>
      </w:hyperlink>
    </w:p>
    <w:p>
      <w:pPr>
        <w:spacing w:after="60"/>
        <w:ind w:left="510" w:hanging="510"/>
      </w:pPr>
      <w:r>
        <w:rPr>
          <w:b/>
          <w:sz w:val="18"/>
        </w:rPr>
        <w:t xml:space="preserve">[r14] </w:t>
      </w:r>
      <w:r>
        <w:rPr>
          <w:sz w:val="18"/>
        </w:rPr>
        <w:t xml:space="preserve">Apivatthakakul T, Oh JK. Limited lateral approach for implant insertion in the proximal femur [Internet]. En: AO Surgery Reference. Davos: AO Foundation [consultado 2026 oct 12]. Disponible en: https://surgeryreference.aofoundation.org/orthopedic-trauma/adult-trauma/proximal-femur/approach/limited-lateral-approach-for-implant-insertion </w:t>
      </w:r>
      <w:r>
        <w:rPr>
          <w:i/>
          <w:color w:val="5A6469"/>
          <w:sz w:val="17"/>
        </w:rPr>
        <w:t xml:space="preserve">(web-oficial · acceso abierto) </w:t>
      </w:r>
      <w:hyperlink r:id="rId13">
        <w:r>
          <w:rPr>
            <w:color w:val="0563C1"/>
            <w:u w:val="single"/>
            <w:sz w:val="18"/>
          </w:rPr>
          <w:t xml:space="preserve">https://surgeryreference.aofoundation.org/orthopedic-trauma/adult-trauma/proximal-femur/approach/limited-lateral-approach-for-implant-insertion</w:t>
        </w:r>
      </w:hyperlink>
    </w:p>
    <w:p>
      <w:pPr>
        <w:spacing w:after="60"/>
        <w:ind w:left="510" w:hanging="510"/>
      </w:pPr>
      <w:r>
        <w:rPr>
          <w:b/>
          <w:sz w:val="18"/>
        </w:rPr>
        <w:t xml:space="preserve">[r20] </w:t>
      </w:r>
      <w:r>
        <w:rPr>
          <w:sz w:val="18"/>
        </w:rPr>
        <w:t xml:space="preserve">Gebhard F, Kregor P, Oliver C, Nousiainen MT. MIPO approach to the distal femur from lateral/anterolateral [Internet]. En: AO Surgery Reference. Davos: AO Foundation [consultado 2026 oct 12]. Disponible en: https://surgeryreference.aofoundation.org/orthopedic-trauma/adult-trauma/distal-femur/approach/mipo-approach-to-the-distal-femur-from-lateral-anterolateral </w:t>
      </w:r>
      <w:r>
        <w:rPr>
          <w:i/>
          <w:color w:val="5A6469"/>
          <w:sz w:val="17"/>
        </w:rPr>
        <w:t xml:space="preserve">(web-oficial · acceso abierto) </w:t>
      </w:r>
      <w:hyperlink r:id="rId14">
        <w:r>
          <w:rPr>
            <w:color w:val="0563C1"/>
            <w:u w:val="single"/>
            <w:sz w:val="18"/>
          </w:rPr>
          <w:t xml:space="preserve">https://surgeryreference.aofoundation.org/orthopedic-trauma/adult-trauma/distal-femur/approach/mipo-approach-to-the-distal-femur-from-lateral-anterolateral</w:t>
        </w:r>
      </w:hyperlink>
    </w:p>
    <w:p>
      <w:pPr>
        <w:spacing w:after="60"/>
        <w:ind w:left="510" w:hanging="510"/>
      </w:pPr>
      <w:r>
        <w:rPr>
          <w:b/>
          <w:sz w:val="18"/>
        </w:rPr>
        <w:t xml:space="preserve">[r22] </w:t>
      </w:r>
      <w:r>
        <w:rPr>
          <w:sz w:val="18"/>
        </w:rPr>
        <w:t xml:space="preserve">Hsu CE, Shih CM, Wang CC, Huang KC. Lateral femoral wall thickness. A reliable predictor of post-operative lateral wall fracture in intertrochanteric fractures. Bone Joint J 2013;95-B(8):1134-8. doi:10.1302/0301-620X.95B8.31495 </w:t>
      </w:r>
      <w:r>
        <w:rPr>
          <w:i/>
          <w:color w:val="5A6469"/>
          <w:sz w:val="17"/>
        </w:rPr>
        <w:t xml:space="preserve">(cohorte · acceso resumen) </w:t>
      </w:r>
      <w:hyperlink r:id="rId31">
        <w:r>
          <w:rPr>
            <w:color w:val="0563C1"/>
            <w:u w:val="single"/>
            <w:sz w:val="18"/>
          </w:rPr>
          <w:t xml:space="preserve">https://doi.org/10.1302/0301-620X.95B8.31495</w:t>
        </w:r>
      </w:hyperlink>
    </w:p>
    <w:p>
      <w:pPr>
        <w:spacing w:after="60"/>
        <w:ind w:left="510" w:hanging="510"/>
      </w:pPr>
      <w:r>
        <w:rPr>
          <w:b/>
          <w:sz w:val="18"/>
        </w:rPr>
        <w:t xml:space="preserve">[r29] </w:t>
      </w:r>
      <w:r>
        <w:rPr>
          <w:sz w:val="18"/>
        </w:rPr>
        <w:t xml:space="preserve">National Institute for Health and Care Excellence. Hip fracture: management (NICE guideline CG124) [Internet]. Londres: NICE; 2011 [actualizada 2023 ene 6; consultado 2026 oct 12]. Disponible en: https://www.nice.org.uk/guidance/cg124 </w:t>
      </w:r>
      <w:r>
        <w:rPr>
          <w:i/>
          <w:color w:val="5A6469"/>
          <w:sz w:val="17"/>
        </w:rPr>
        <w:t xml:space="preserve">(guia · acceso abierto) </w:t>
      </w:r>
      <w:hyperlink r:id="rId32">
        <w:r>
          <w:rPr>
            <w:color w:val="0563C1"/>
            <w:u w:val="single"/>
            <w:sz w:val="18"/>
          </w:rPr>
          <w:t xml:space="preserve">https://www.nice.org.uk/guidance/cg124/chapter/Recommendations</w:t>
        </w:r>
      </w:hyperlink>
    </w:p>
    <w:p>
      <w:pPr>
        <w:pStyle w:val="Heading1"/>
      </w:pPr>
      <w:r>
        <w:t>Indicaciones</w:t>
      </w:r>
    </w:p>
    <w:p>
      <w:r>
        <w:rPr/>
        <w:t>Cada indicación tiene una evidencia distinta detrás. La tabla separa lo recomendado por guías de lo que solo tiene series.</w:t>
      </w:r>
    </w:p>
    <w:p>
      <w:r>
        <w:rPr>
          <w:b/>
        </w:rPr>
        <w:t>Definiciones que usa este tema.</w:t>
      </w:r>
      <w:r>
        <w:rPr/>
        <w:t xml:space="preserve"> Región subtrocantérica: los primeros 5 cm distales al trocánter menor [r8]. Oblicuidad inversa: un patrón mecánicamente distinto de la intertrocantérica habitual, que en una serie fue el 2 % de las fracturas de cadera [r23].</w:t>
      </w:r>
    </w:p>
    <w:p>
      <w:r>
        <w:rPr>
          <w:b/>
        </w:rPr>
        <w:t>Contraindicaciones relativas</w:t>
      </w:r>
      <w:r>
        <w:rPr/>
        <w:t xml:space="preserve"> (práctica habitual / opinión experta): piel comprometida o infección en el trayecto de la incisión, fisiología que no tolera una cirugía larga (primero control de daños) y fracturas en las que una guía recomienda con claridad otro implante.</w:t>
      </w:r>
    </w:p>
    <w:p>
      <w:pPr>
        <w:keepNext/>
      </w:pPr>
      <w:r>
        <w:rPr>
          <w:b/>
          <w:color w:val="0F5F6B"/>
          <w:sz w:val="20"/>
        </w:rPr>
        <w:t>Tabla 3. Qué abordaje lateral para qué situación y con qué respaldo</w:t>
      </w:r>
      <w:r>
        <w:rPr>
          <w:color w:val="5A6469"/>
          <w:sz w:val="18"/>
        </w:rPr>
        <w:t xml:space="preserve">  [r6] [r29] [r12] [r30] [r23] [r31] [r8] [r13] [r32] [r33] [r24] [r34] [r35] [r36] [r37] [r38]</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Situación</w:t>
            </w:r>
          </w:p>
        </w:tc>
        <w:tc>
          <w:tcPr>
            <w:tcW w:type="dxa" w:w="2353"/>
            <w:shd w:val="clear" w:color="auto" w:fill="0F5F6B"/>
          </w:tcPr>
          <w:p>
            <w:r/>
            <w:r>
              <w:rPr>
                <w:b/>
                <w:color w:val="FFFFFF"/>
                <w:sz w:val="20"/>
              </w:rPr>
              <w:t>¿Se usa la vía lateral?</w:t>
            </w:r>
          </w:p>
        </w:tc>
        <w:tc>
          <w:tcPr>
            <w:tcW w:type="dxa" w:w="2353"/>
            <w:shd w:val="clear" w:color="auto" w:fill="0F5F6B"/>
          </w:tcPr>
          <w:p>
            <w:r/>
            <w:r>
              <w:rPr>
                <w:b/>
                <w:color w:val="FFFFFF"/>
                <w:sz w:val="20"/>
              </w:rPr>
              <w:t>Qué recomiendan guías o la mejor evidencia</w:t>
            </w:r>
          </w:p>
        </w:tc>
        <w:tc>
          <w:tcPr>
            <w:tcW w:type="dxa" w:w="2353"/>
            <w:shd w:val="clear" w:color="auto" w:fill="0F5F6B"/>
          </w:tcPr>
          <w:p>
            <w:r/>
            <w:r>
              <w:rPr>
                <w:b/>
                <w:color w:val="FFFFFF"/>
                <w:sz w:val="20"/>
              </w:rPr>
              <w:t>Con qué certeza</w:t>
            </w:r>
          </w:p>
        </w:tc>
      </w:tr>
      <w:tr>
        <w:tc>
          <w:tcPr>
            <w:tcW w:type="dxa" w:w="2353"/>
          </w:tcPr>
          <w:p>
            <w:r/>
            <w:r>
              <w:rPr>
                <w:sz w:val="20"/>
              </w:rPr>
              <w:t>Pertrocantérea estable</w:t>
            </w:r>
          </w:p>
        </w:tc>
        <w:tc>
          <w:tcPr>
            <w:tcW w:type="dxa" w:w="2353"/>
          </w:tcPr>
          <w:p>
            <w:r/>
            <w:r>
              <w:rPr>
                <w:sz w:val="20"/>
              </w:rPr>
              <w:t>Sí: ventana lateral limitada para tornillo deslizante</w:t>
            </w:r>
          </w:p>
        </w:tc>
        <w:tc>
          <w:tcPr>
            <w:tcW w:type="dxa" w:w="2353"/>
          </w:tcPr>
          <w:p>
            <w:r/>
            <w:r>
              <w:rPr>
                <w:sz w:val="20"/>
              </w:rPr>
              <w:t>AAOS: tornillo deslizante o dispositivo cefalomedular, ambos recomendados [r6]; NICE: extramedular preferido hasta el trocánter menor, salvo oblicuidad inversa [r29]</w:t>
            </w:r>
          </w:p>
        </w:tc>
        <w:tc>
          <w:tcPr>
            <w:tcW w:type="dxa" w:w="2353"/>
          </w:tcPr>
          <w:p>
            <w:r/>
            <w:r>
              <w:rPr>
                <w:sz w:val="20"/>
              </w:rPr>
              <w:t>Alta, recomendación fuerte (AAOS); Cochrane de 76 estudios y 10 979 participantes: resultados funcionales muy parecidos [r12]</w:t>
            </w:r>
          </w:p>
        </w:tc>
      </w:tr>
      <w:tr>
        <w:tc>
          <w:tcPr>
            <w:tcW w:type="dxa" w:w="2353"/>
            <w:shd w:val="clear" w:color="auto" w:fill="EEF3F4"/>
          </w:tcPr>
          <w:p>
            <w:r/>
            <w:r>
              <w:rPr>
                <w:sz w:val="20"/>
              </w:rPr>
              <w:t>Pertrocantérea inestable</w:t>
            </w:r>
          </w:p>
        </w:tc>
        <w:tc>
          <w:tcPr>
            <w:tcW w:type="dxa" w:w="2353"/>
            <w:shd w:val="clear" w:color="auto" w:fill="EEF3F4"/>
          </w:tcPr>
          <w:p>
            <w:r/>
            <w:r>
              <w:rPr>
                <w:sz w:val="20"/>
              </w:rPr>
              <w:t>Posible con tornillo deslizante (con o sin placa estabilizadora trocantérica), pero no es la primera opción</w:t>
            </w:r>
          </w:p>
        </w:tc>
        <w:tc>
          <w:tcPr>
            <w:tcW w:type="dxa" w:w="2353"/>
            <w:shd w:val="clear" w:color="auto" w:fill="EEF3F4"/>
          </w:tcPr>
          <w:p>
            <w:r/>
            <w:r>
              <w:rPr>
                <w:sz w:val="20"/>
              </w:rPr>
              <w:t>AAOS: dispositivo cefalomedular [r6]</w:t>
            </w:r>
          </w:p>
        </w:tc>
        <w:tc>
          <w:tcPr>
            <w:tcW w:type="dxa" w:w="2353"/>
            <w:shd w:val="clear" w:color="auto" w:fill="EEF3F4"/>
          </w:tcPr>
          <w:p>
            <w:r/>
            <w:r>
              <w:rPr>
                <w:sz w:val="20"/>
              </w:rPr>
              <w:t>Cohorte de 3230 pacientes: menor mortalidad a 12 meses con clavo y revisión de 4,04 % con tornillo deslizante solo; sin diferencia funcional [r30]</w:t>
            </w:r>
          </w:p>
        </w:tc>
      </w:tr>
      <w:tr>
        <w:tc>
          <w:tcPr>
            <w:tcW w:type="dxa" w:w="2353"/>
          </w:tcPr>
          <w:p>
            <w:r/>
            <w:r>
              <w:rPr>
                <w:sz w:val="20"/>
              </w:rPr>
              <w:t>Oblicuidad inversa</w:t>
            </w:r>
          </w:p>
        </w:tc>
        <w:tc>
          <w:tcPr>
            <w:tcW w:type="dxa" w:w="2353"/>
          </w:tcPr>
          <w:p>
            <w:r/>
            <w:r>
              <w:rPr>
                <w:sz w:val="20"/>
              </w:rPr>
              <w:t>No suele ser buena indicación para tornillo deslizante</w:t>
            </w:r>
          </w:p>
        </w:tc>
        <w:tc>
          <w:tcPr>
            <w:tcW w:type="dxa" w:w="2353"/>
          </w:tcPr>
          <w:p>
            <w:r/>
            <w:r>
              <w:rPr>
                <w:sz w:val="20"/>
              </w:rPr>
              <w:t>AAOS: dispositivo cefalomedular [r6]</w:t>
            </w:r>
          </w:p>
        </w:tc>
        <w:tc>
          <w:tcPr>
            <w:tcW w:type="dxa" w:w="2353"/>
          </w:tcPr>
          <w:p>
            <w:r/>
            <w:r>
              <w:rPr>
                <w:sz w:val="20"/>
              </w:rPr>
              <w:t>Serie retrospectiva: falló 9 de 16 tornillos deslizantes y 2 de 15 placas en ángulo [r23]</w:t>
            </w:r>
          </w:p>
        </w:tc>
      </w:tr>
      <w:tr>
        <w:tc>
          <w:tcPr>
            <w:tcW w:type="dxa" w:w="2353"/>
            <w:shd w:val="clear" w:color="auto" w:fill="EEF3F4"/>
          </w:tcPr>
          <w:p>
            <w:r/>
            <w:r>
              <w:rPr>
                <w:sz w:val="20"/>
              </w:rPr>
              <w:t>Subtrocantérica</w:t>
            </w:r>
          </w:p>
        </w:tc>
        <w:tc>
          <w:tcPr>
            <w:tcW w:type="dxa" w:w="2353"/>
            <w:shd w:val="clear" w:color="auto" w:fill="EEF3F4"/>
          </w:tcPr>
          <w:p>
            <w:r/>
            <w:r>
              <w:rPr>
                <w:sz w:val="20"/>
              </w:rPr>
              <w:t>Casos seleccionados y revisiones; extensión en L del vasto</w:t>
            </w:r>
          </w:p>
        </w:tc>
        <w:tc>
          <w:tcPr>
            <w:tcW w:type="dxa" w:w="2353"/>
            <w:shd w:val="clear" w:color="auto" w:fill="EEF3F4"/>
          </w:tcPr>
          <w:p>
            <w:r/>
            <w:r>
              <w:rPr>
                <w:sz w:val="20"/>
              </w:rPr>
              <w:t>AAOS y NICE: clavo [r6][r29]</w:t>
            </w:r>
          </w:p>
        </w:tc>
        <w:tc>
          <w:tcPr>
            <w:tcW w:type="dxa" w:w="2353"/>
            <w:shd w:val="clear" w:color="auto" w:fill="EEF3F4"/>
          </w:tcPr>
          <w:p>
            <w:r/>
            <w:r>
              <w:rPr>
                <w:sz w:val="20"/>
              </w:rPr>
              <w:t>Serie de no uniones subtrocantéricas revisadas: 20 de 21 consolidaron (95 %) con clavos y placas en ángulo [r31]</w:t>
            </w:r>
          </w:p>
        </w:tc>
      </w:tr>
      <w:tr>
        <w:tc>
          <w:tcPr>
            <w:tcW w:type="dxa" w:w="2353"/>
          </w:tcPr>
          <w:p>
            <w:r/>
            <w:r>
              <w:rPr>
                <w:sz w:val="20"/>
              </w:rPr>
              <w:t>Diáfisis</w:t>
            </w:r>
          </w:p>
        </w:tc>
        <w:tc>
          <w:tcPr>
            <w:tcW w:type="dxa" w:w="2353"/>
          </w:tcPr>
          <w:p>
            <w:r/>
            <w:r>
              <w:rPr>
                <w:sz w:val="20"/>
              </w:rPr>
              <w:t>Sí, con placa, cuando el clavo no puede o no debe usarse</w:t>
            </w:r>
          </w:p>
        </w:tc>
        <w:tc>
          <w:tcPr>
            <w:tcW w:type="dxa" w:w="2353"/>
          </w:tcPr>
          <w:p>
            <w:r/>
            <w:r>
              <w:rPr>
                <w:sz w:val="20"/>
              </w:rPr>
              <w:t>El clavo es el tratamiento más frecuente en el paciente estable [r8]</w:t>
            </w:r>
          </w:p>
        </w:tc>
        <w:tc>
          <w:tcPr>
            <w:tcW w:type="dxa" w:w="2353"/>
          </w:tcPr>
          <w:p>
            <w:r/>
            <w:r>
              <w:rPr>
                <w:sz w:val="20"/>
              </w:rPr>
              <w:t>MIPO en 36 fracturas cerradas sin indicación de clavo: 33 consolidaron [r13]; revisión de 19 estudios de placa biológica en todo el fémur (29 % diafisarias): consolidación de 98,4 % [r32]</w:t>
            </w:r>
          </w:p>
        </w:tc>
      </w:tr>
      <w:tr>
        <w:tc>
          <w:tcPr>
            <w:tcW w:type="dxa" w:w="2353"/>
            <w:shd w:val="clear" w:color="auto" w:fill="EEF3F4"/>
          </w:tcPr>
          <w:p>
            <w:r/>
            <w:r>
              <w:rPr>
                <w:sz w:val="20"/>
              </w:rPr>
              <w:t>No unión de diáfisis tras clavo</w:t>
            </w:r>
          </w:p>
        </w:tc>
        <w:tc>
          <w:tcPr>
            <w:tcW w:type="dxa" w:w="2353"/>
            <w:shd w:val="clear" w:color="auto" w:fill="EEF3F4"/>
          </w:tcPr>
          <w:p>
            <w:r/>
            <w:r>
              <w:rPr>
                <w:sz w:val="20"/>
              </w:rPr>
              <w:t>Sí, placa aumentativa</w:t>
            </w:r>
          </w:p>
        </w:tc>
        <w:tc>
          <w:tcPr>
            <w:tcW w:type="dxa" w:w="2353"/>
            <w:shd w:val="clear" w:color="auto" w:fill="EEF3F4"/>
          </w:tcPr>
          <w:p>
            <w:r/>
            <w:r>
              <w:rPr>
                <w:sz w:val="20"/>
              </w:rPr>
              <w:t>Más consolidación con placa aumentativa que con recambio de clavo (OR 11,66) en 5 estudios y 506 pacientes [r33]</w:t>
            </w:r>
          </w:p>
        </w:tc>
        <w:tc>
          <w:tcPr>
            <w:tcW w:type="dxa" w:w="2353"/>
            <w:shd w:val="clear" w:color="auto" w:fill="EEF3F4"/>
          </w:tcPr>
          <w:p>
            <w:r/>
            <w:r>
              <w:rPr>
                <w:sz w:val="20"/>
              </w:rPr>
              <w:t>Certeza baja: los autores describen los 5 estudios como aleatorizados, pero al menos 3 de los citados se titulan cohorte retrospectiva [r33]</w:t>
            </w:r>
          </w:p>
        </w:tc>
      </w:tr>
      <w:tr>
        <w:tc>
          <w:tcPr>
            <w:tcW w:type="dxa" w:w="2353"/>
          </w:tcPr>
          <w:p>
            <w:r/>
            <w:r>
              <w:rPr>
                <w:sz w:val="20"/>
              </w:rPr>
              <w:t>Fémur distal</w:t>
            </w:r>
          </w:p>
        </w:tc>
        <w:tc>
          <w:tcPr>
            <w:tcW w:type="dxa" w:w="2353"/>
          </w:tcPr>
          <w:p>
            <w:r/>
            <w:r>
              <w:rPr>
                <w:sz w:val="20"/>
              </w:rPr>
              <w:t>Sí: lateral abierta o MIPO</w:t>
            </w:r>
          </w:p>
        </w:tc>
        <w:tc>
          <w:tcPr>
            <w:tcW w:type="dxa" w:w="2353"/>
          </w:tcPr>
          <w:p>
            <w:r/>
            <w:r>
              <w:rPr>
                <w:sz w:val="20"/>
              </w:rPr>
              <w:t>Sin diferencia entre placa y clavo en consolidación y reoperación [r24]</w:t>
            </w:r>
          </w:p>
        </w:tc>
        <w:tc>
          <w:tcPr>
            <w:tcW w:type="dxa" w:w="2353"/>
          </w:tcPr>
          <w:p>
            <w:r/>
            <w:r>
              <w:rPr>
                <w:sz w:val="20"/>
              </w:rPr>
              <w:t>103 fracturas con sistema de estabilización poco invasiva: 93 % consolidaron sin injerto [r34]</w:t>
            </w:r>
          </w:p>
        </w:tc>
      </w:tr>
      <w:tr>
        <w:tc>
          <w:tcPr>
            <w:tcW w:type="dxa" w:w="2353"/>
            <w:shd w:val="clear" w:color="auto" w:fill="EEF3F4"/>
          </w:tcPr>
          <w:p>
            <w:r/>
            <w:r>
              <w:rPr>
                <w:sz w:val="20"/>
              </w:rPr>
              <w:t>Osteotomía del fémur proximal</w:t>
            </w:r>
          </w:p>
        </w:tc>
        <w:tc>
          <w:tcPr>
            <w:tcW w:type="dxa" w:w="2353"/>
            <w:shd w:val="clear" w:color="auto" w:fill="EEF3F4"/>
          </w:tcPr>
          <w:p>
            <w:r/>
            <w:r>
              <w:rPr>
                <w:sz w:val="20"/>
              </w:rPr>
              <w:t>Sí, con placa en ángulo o bloqueada</w:t>
            </w:r>
          </w:p>
        </w:tc>
        <w:tc>
          <w:tcPr>
            <w:tcW w:type="dxa" w:w="2353"/>
            <w:shd w:val="clear" w:color="auto" w:fill="EEF3F4"/>
          </w:tcPr>
          <w:p>
            <w:r/>
            <w:r>
              <w:rPr>
                <w:sz w:val="20"/>
              </w:rPr>
              <w:t>No unión del cuello femoral: osteotomía valguizante con placa en ángulo, consolidó 31 de 32 (97 %) [r35]</w:t>
            </w:r>
          </w:p>
        </w:tc>
        <w:tc>
          <w:tcPr>
            <w:tcW w:type="dxa" w:w="2353"/>
            <w:shd w:val="clear" w:color="auto" w:fill="EEF3F4"/>
          </w:tcPr>
          <w:p>
            <w:r/>
            <w:r>
              <w:rPr>
                <w:sz w:val="20"/>
              </w:rPr>
              <w:t>Niños con parálisis cerebral, 268 caderas: placa en ángulo y bloqueada sin diferencia de consolidación a los 3, 6 y 12 meses [r36]</w:t>
            </w:r>
          </w:p>
        </w:tc>
      </w:tr>
      <w:tr>
        <w:tc>
          <w:tcPr>
            <w:tcW w:type="dxa" w:w="2353"/>
          </w:tcPr>
          <w:p>
            <w:r/>
            <w:r>
              <w:rPr>
                <w:sz w:val="20"/>
              </w:rPr>
              <w:t>Fractura periprotésica del fémur distal (sobre prótesis de rodilla)</w:t>
            </w:r>
          </w:p>
        </w:tc>
        <w:tc>
          <w:tcPr>
            <w:tcW w:type="dxa" w:w="2353"/>
          </w:tcPr>
          <w:p>
            <w:r/>
            <w:r>
              <w:rPr>
                <w:sz w:val="20"/>
              </w:rPr>
              <w:t>Sí, placa lateral por vía convencional o mínimamente invasiva</w:t>
            </w:r>
          </w:p>
        </w:tc>
        <w:tc>
          <w:tcPr>
            <w:tcW w:type="dxa" w:w="2353"/>
          </w:tcPr>
          <w:p>
            <w:r/>
            <w:r>
              <w:rPr>
                <w:sz w:val="20"/>
              </w:rPr>
              <w:t>No unión 1,7 % con vía mínimamente invasiva frente a 11,1 % con vía estándar, cohorte observacional multicéntrica [r37]</w:t>
            </w:r>
          </w:p>
        </w:tc>
        <w:tc>
          <w:tcPr>
            <w:tcW w:type="dxa" w:w="2353"/>
          </w:tcPr>
          <w:p>
            <w:r/>
            <w:r>
              <w:rPr>
                <w:sz w:val="20"/>
              </w:rPr>
              <w:t>Metaanálisis 2026 de 13 estudios retrospectivos: placa y clavo comparables en revisión y no unión [r38]</w:t>
            </w:r>
          </w:p>
        </w:tc>
      </w:tr>
    </w:tbl>
    <w:p/>
    <w:p>
      <w:pPr>
        <w:keepNext/>
      </w:pPr>
      <w:r>
        <w:rPr>
          <w:b/>
          <w:color w:val="0F5F6B"/>
          <w:sz w:val="20"/>
        </w:rPr>
        <w:t>Referencias de este bloque</w:t>
      </w:r>
    </w:p>
    <w:p>
      <w:pPr>
        <w:spacing w:after="60"/>
        <w:ind w:left="510" w:hanging="510"/>
      </w:pPr>
      <w:r>
        <w:rPr>
          <w:b/>
          <w:sz w:val="18"/>
        </w:rPr>
        <w:t xml:space="preserve">[r6] </w:t>
      </w:r>
      <w:r>
        <w:rPr>
          <w:sz w:val="18"/>
        </w:rPr>
        <w:t xml:space="preserve">American Academy of Orthopaedic Surgeons. Management of Hip Fractures in Older Adults: Evidence-Based Clinical Practice Guideline [Internet]. Rosemont (IL): AAOS; 2021 dic 3 [consultado 2026 oct 12]. Disponible en: https://www.aaos.org/hipfxcpg </w:t>
      </w:r>
      <w:r>
        <w:rPr>
          <w:i/>
          <w:color w:val="5A6469"/>
          <w:sz w:val="17"/>
        </w:rPr>
        <w:t xml:space="preserve">(guia · acceso abierto) </w:t>
      </w:r>
      <w:hyperlink r:id="rId30">
        <w:r>
          <w:rPr>
            <w:color w:val="0563C1"/>
            <w:u w:val="single"/>
            <w:sz w:val="18"/>
          </w:rPr>
          <w:t xml:space="preserve">https://www.aaos.org/hipfxcpg</w:t>
        </w:r>
      </w:hyperlink>
    </w:p>
    <w:p>
      <w:pPr>
        <w:spacing w:after="60"/>
        <w:ind w:left="510" w:hanging="510"/>
      </w:pPr>
      <w:r>
        <w:rPr>
          <w:b/>
          <w:sz w:val="18"/>
        </w:rPr>
        <w:t xml:space="preserve">[r8] </w:t>
      </w:r>
      <w:r>
        <w:rPr>
          <w:sz w:val="18"/>
        </w:rPr>
        <w:t xml:space="preserve">Denisiuk M, Afsari A. Femoral Shaft Fractures. En: StatPearls [Internet]. Treasure Island (FL): StatPearls Publishing; 2023 ene [consultado 2026 oct 12]. Disponible en: https://www.ncbi.nlm.nih.gov/books/NBK556057/ </w:t>
      </w:r>
      <w:r>
        <w:rPr>
          <w:i/>
          <w:color w:val="5A6469"/>
          <w:sz w:val="17"/>
        </w:rPr>
        <w:t xml:space="preserve">(libro-abierto · acceso abierto) </w:t>
      </w:r>
      <w:hyperlink r:id="rId18">
        <w:r>
          <w:rPr>
            <w:color w:val="0563C1"/>
            <w:u w:val="single"/>
            <w:sz w:val="18"/>
          </w:rPr>
          <w:t xml:space="preserve">https://www.ncbi.nlm.nih.gov/books/NBK556057/</w:t>
        </w:r>
      </w:hyperlink>
    </w:p>
    <w:p>
      <w:pPr>
        <w:spacing w:after="60"/>
        <w:ind w:left="510" w:hanging="510"/>
      </w:pPr>
      <w:r>
        <w:rPr>
          <w:b/>
          <w:sz w:val="18"/>
        </w:rPr>
        <w:t xml:space="preserve">[r12] </w:t>
      </w:r>
      <w:r>
        <w:rPr>
          <w:sz w:val="18"/>
        </w:rPr>
        <w:t xml:space="preserve">Lewis SR, Macey R, Gill JR, Parker MJ, Griffin XL. Cephalomedullary nails versus extramedullary implants for extracapsular hip fractures in older adults. Cochrane Database Syst Rev 2022;1:CD000093. doi:10.1002/14651858.CD000093.pub6 </w:t>
      </w:r>
      <w:r>
        <w:rPr>
          <w:i/>
          <w:color w:val="5A6469"/>
          <w:sz w:val="17"/>
        </w:rPr>
        <w:t xml:space="preserve">(RS-MA · acceso abierto) </w:t>
      </w:r>
      <w:hyperlink r:id="rId33">
        <w:r>
          <w:rPr>
            <w:color w:val="0563C1"/>
            <w:u w:val="single"/>
            <w:sz w:val="18"/>
          </w:rPr>
          <w:t xml:space="preserve">https://doi.org/10.1002/14651858.CD000093.pub6</w:t>
        </w:r>
      </w:hyperlink>
    </w:p>
    <w:p>
      <w:pPr>
        <w:spacing w:after="60"/>
        <w:ind w:left="510" w:hanging="510"/>
      </w:pPr>
      <w:r>
        <w:rPr>
          <w:b/>
          <w:sz w:val="18"/>
        </w:rPr>
        <w:t xml:space="preserve">[r13] </w:t>
      </w:r>
      <w:r>
        <w:rPr>
          <w:sz w:val="18"/>
        </w:rPr>
        <w:t xml:space="preserve">Apivatthakakul T, Chiewcharntanakit S. Minimally invasive plate osteosynthesis (MIPO) in the treatment of the femoral shaft fracture where intramedullary nailing is not indicated. Int Orthop 2009;33(4):1119-26. doi:10.1007/s00264-008-0603-2 </w:t>
      </w:r>
      <w:r>
        <w:rPr>
          <w:i/>
          <w:color w:val="5A6469"/>
          <w:sz w:val="17"/>
        </w:rPr>
        <w:t xml:space="preserve">(serie · acceso resumen) </w:t>
      </w:r>
      <w:hyperlink r:id="rId34">
        <w:r>
          <w:rPr>
            <w:color w:val="0563C1"/>
            <w:u w:val="single"/>
            <w:sz w:val="18"/>
          </w:rPr>
          <w:t xml:space="preserve">https://doi.org/10.1007/s00264-008-0603-2</w:t>
        </w:r>
      </w:hyperlink>
    </w:p>
    <w:p>
      <w:pPr>
        <w:spacing w:after="60"/>
        <w:ind w:left="510" w:hanging="510"/>
      </w:pPr>
      <w:r>
        <w:rPr>
          <w:b/>
          <w:sz w:val="18"/>
        </w:rPr>
        <w:t xml:space="preserve">[r23] </w:t>
      </w:r>
      <w:r>
        <w:rPr>
          <w:sz w:val="18"/>
        </w:rPr>
        <w:t xml:space="preserve">Haidukewych GJ, Israel TA, Berry DJ. Reverse obliquity fractures of the intertrochanteric region of the femur. J Bone Joint Surg Am 2001;83(5):643-50. doi:10.2106/00004623-200105000-00001 </w:t>
      </w:r>
      <w:r>
        <w:rPr>
          <w:i/>
          <w:color w:val="5A6469"/>
          <w:sz w:val="17"/>
        </w:rPr>
        <w:t xml:space="preserve">(serie · acceso resumen) </w:t>
      </w:r>
      <w:hyperlink r:id="rId35">
        <w:r>
          <w:rPr>
            <w:color w:val="0563C1"/>
            <w:u w:val="single"/>
            <w:sz w:val="18"/>
          </w:rPr>
          <w:t xml:space="preserve">https://doi.org/10.2106/00004623-200105000-00001</w:t>
        </w:r>
      </w:hyperlink>
    </w:p>
    <w:p>
      <w:pPr>
        <w:spacing w:after="60"/>
        <w:ind w:left="510" w:hanging="510"/>
      </w:pPr>
      <w:r>
        <w:rPr>
          <w:b/>
          <w:sz w:val="18"/>
        </w:rPr>
        <w:t xml:space="preserve">[r24] </w:t>
      </w:r>
      <w:r>
        <w:rPr>
          <w:sz w:val="18"/>
        </w:rPr>
        <w:t xml:space="preserve">Koso RE, Terhoeve C, Steen RG, Zura R. Healing, nonunion, and re-operation after internal fixation of diaphyseal and distal femoral fractures: a systematic review and meta-analysis. Int Orthop 2018;42(11):2675-2683. doi:10.1007/s00264-018-3864-4 </w:t>
      </w:r>
      <w:r>
        <w:rPr>
          <w:i/>
          <w:color w:val="5A6469"/>
          <w:sz w:val="17"/>
        </w:rPr>
        <w:t xml:space="preserve">(RS-MA · acceso resumen) </w:t>
      </w:r>
      <w:hyperlink r:id="rId36">
        <w:r>
          <w:rPr>
            <w:color w:val="0563C1"/>
            <w:u w:val="single"/>
            <w:sz w:val="18"/>
          </w:rPr>
          <w:t xml:space="preserve">https://doi.org/10.1007/s00264-018-3864-4</w:t>
        </w:r>
      </w:hyperlink>
    </w:p>
    <w:p>
      <w:pPr>
        <w:spacing w:after="60"/>
        <w:ind w:left="510" w:hanging="510"/>
      </w:pPr>
      <w:r>
        <w:rPr>
          <w:b/>
          <w:sz w:val="18"/>
        </w:rPr>
        <w:t xml:space="preserve">[r29] </w:t>
      </w:r>
      <w:r>
        <w:rPr>
          <w:sz w:val="18"/>
        </w:rPr>
        <w:t xml:space="preserve">National Institute for Health and Care Excellence. Hip fracture: management (NICE guideline CG124) [Internet]. Londres: NICE; 2011 [actualizada 2023 ene 6; consultado 2026 oct 12]. Disponible en: https://www.nice.org.uk/guidance/cg124 </w:t>
      </w:r>
      <w:r>
        <w:rPr>
          <w:i/>
          <w:color w:val="5A6469"/>
          <w:sz w:val="17"/>
        </w:rPr>
        <w:t xml:space="preserve">(guia · acceso abierto) </w:t>
      </w:r>
      <w:hyperlink r:id="rId32">
        <w:r>
          <w:rPr>
            <w:color w:val="0563C1"/>
            <w:u w:val="single"/>
            <w:sz w:val="18"/>
          </w:rPr>
          <w:t xml:space="preserve">https://www.nice.org.uk/guidance/cg124/chapter/Recommendations</w:t>
        </w:r>
      </w:hyperlink>
    </w:p>
    <w:p>
      <w:pPr>
        <w:spacing w:after="60"/>
        <w:ind w:left="510" w:hanging="510"/>
      </w:pPr>
      <w:r>
        <w:rPr>
          <w:b/>
          <w:sz w:val="18"/>
        </w:rPr>
        <w:t xml:space="preserve">[r30] </w:t>
      </w:r>
      <w:r>
        <w:rPr>
          <w:sz w:val="18"/>
        </w:rPr>
        <w:t xml:space="preserve">Tucker A, Donnelly KJ, Rowan C, McDonald S, Foster AP. Is the Best Plate a Nail? A Review of 3230 Unstable Intertrochanteric Fractures of the Proximal Femur. J Orthop Trauma 2018;32(2):53-60. doi:10.1097/BOT.0000000000001038 </w:t>
      </w:r>
      <w:r>
        <w:rPr>
          <w:i/>
          <w:color w:val="5A6469"/>
          <w:sz w:val="17"/>
        </w:rPr>
        <w:t xml:space="preserve">(cohorte · acceso resumen) </w:t>
      </w:r>
      <w:hyperlink r:id="rId37">
        <w:r>
          <w:rPr>
            <w:color w:val="0563C1"/>
            <w:u w:val="single"/>
            <w:sz w:val="18"/>
          </w:rPr>
          <w:t xml:space="preserve">https://doi.org/10.1097/BOT.0000000000001038</w:t>
        </w:r>
      </w:hyperlink>
    </w:p>
    <w:p>
      <w:pPr>
        <w:spacing w:after="60"/>
        <w:ind w:left="510" w:hanging="510"/>
      </w:pPr>
      <w:r>
        <w:rPr>
          <w:b/>
          <w:sz w:val="18"/>
        </w:rPr>
        <w:t xml:space="preserve">[r31] </w:t>
      </w:r>
      <w:r>
        <w:rPr>
          <w:sz w:val="18"/>
        </w:rPr>
        <w:t xml:space="preserve">Haidukewych GJ, Berry DJ. Nonunion of fractures of the subtrochanteric region of the femur. Clin Orthop Relat Res 2004;(419):185-8. doi:10.1097/00003086-200402000-00030 </w:t>
      </w:r>
      <w:r>
        <w:rPr>
          <w:i/>
          <w:color w:val="5A6469"/>
          <w:sz w:val="17"/>
        </w:rPr>
        <w:t xml:space="preserve">(serie · acceso resumen) </w:t>
      </w:r>
      <w:hyperlink r:id="rId38">
        <w:r>
          <w:rPr>
            <w:color w:val="0563C1"/>
            <w:u w:val="single"/>
            <w:sz w:val="18"/>
          </w:rPr>
          <w:t xml:space="preserve">https://doi.org/10.1097/00003086-200402000-00030</w:t>
        </w:r>
      </w:hyperlink>
    </w:p>
    <w:p>
      <w:pPr>
        <w:spacing w:after="60"/>
        <w:ind w:left="510" w:hanging="510"/>
      </w:pPr>
      <w:r>
        <w:rPr>
          <w:b/>
          <w:sz w:val="18"/>
        </w:rPr>
        <w:t xml:space="preserve">[r32] </w:t>
      </w:r>
      <w:r>
        <w:rPr>
          <w:sz w:val="18"/>
        </w:rPr>
        <w:t xml:space="preserve">Papakostidis C, Grotz MR, Papadokostakis G, Dimitriou R, Giannoudis PV. Femoral biologic plate fixation. Clin Orthop Relat Res 2006;450:193-202. doi:10.1097/01.blo.0000218760.19934.2b </w:t>
      </w:r>
      <w:r>
        <w:rPr>
          <w:i/>
          <w:color w:val="5A6469"/>
          <w:sz w:val="17"/>
        </w:rPr>
        <w:t xml:space="preserve">(RS-MA · acceso resumen) </w:t>
      </w:r>
      <w:hyperlink r:id="rId39">
        <w:r>
          <w:rPr>
            <w:color w:val="0563C1"/>
            <w:u w:val="single"/>
            <w:sz w:val="18"/>
          </w:rPr>
          <w:t xml:space="preserve">https://doi.org/10.1097/01.blo.0000218760.19934.2b</w:t>
        </w:r>
      </w:hyperlink>
    </w:p>
    <w:p>
      <w:pPr>
        <w:spacing w:after="60"/>
        <w:ind w:left="510" w:hanging="510"/>
      </w:pPr>
      <w:r>
        <w:rPr>
          <w:b/>
          <w:sz w:val="18"/>
        </w:rPr>
        <w:t xml:space="preserve">[r33] </w:t>
      </w:r>
      <w:r>
        <w:rPr>
          <w:sz w:val="18"/>
        </w:rPr>
        <w:t xml:space="preserve">Jin YF, Xu HC, Shen ZH, Pan XK, Xie H. Comparing Augmentative Plating and Exchange Nailing for the Treatment of Nonunion of Femoral Shaft Fracture after Intramedullary Nailing: A Meta-analysis. Orthop Surg 2020;12(1):50-57. doi:10.1111/os.12580 </w:t>
      </w:r>
      <w:r>
        <w:rPr>
          <w:i/>
          <w:color w:val="5A6469"/>
          <w:sz w:val="17"/>
        </w:rPr>
        <w:t xml:space="preserve">(RS-MA · acceso abierto) </w:t>
      </w:r>
      <w:hyperlink r:id="rId40">
        <w:r>
          <w:rPr>
            <w:color w:val="0563C1"/>
            <w:u w:val="single"/>
            <w:sz w:val="18"/>
          </w:rPr>
          <w:t xml:space="preserve">https://doi.org/10.1111/os.12580</w:t>
        </w:r>
      </w:hyperlink>
    </w:p>
    <w:p>
      <w:pPr>
        <w:spacing w:after="60"/>
        <w:ind w:left="510" w:hanging="510"/>
      </w:pPr>
      <w:r>
        <w:rPr>
          <w:b/>
          <w:sz w:val="18"/>
        </w:rPr>
        <w:t xml:space="preserve">[r34] </w:t>
      </w:r>
      <w:r>
        <w:rPr>
          <w:sz w:val="18"/>
        </w:rPr>
        <w:t xml:space="preserve">Kregor PJ, Stannard JA, Zlowodzki M, Cole PA. Treatment of distal femur fractures using the less invasive stabilization system: surgical experience and early clinical results in 103 fractures. J Orthop Trauma 2004;18(8):509-20. doi:10.1097/00005131-200409000-00006 </w:t>
      </w:r>
      <w:r>
        <w:rPr>
          <w:i/>
          <w:color w:val="5A6469"/>
          <w:sz w:val="17"/>
        </w:rPr>
        <w:t xml:space="preserve">(serie · acceso resumen) </w:t>
      </w:r>
      <w:hyperlink r:id="rId41">
        <w:r>
          <w:rPr>
            <w:color w:val="0563C1"/>
            <w:u w:val="single"/>
            <w:sz w:val="18"/>
          </w:rPr>
          <w:t xml:space="preserve">https://doi.org/10.1097/00005131-200409000-00006</w:t>
        </w:r>
      </w:hyperlink>
    </w:p>
    <w:p>
      <w:pPr>
        <w:spacing w:after="60"/>
        <w:ind w:left="510" w:hanging="510"/>
      </w:pPr>
      <w:r>
        <w:rPr>
          <w:b/>
          <w:sz w:val="18"/>
        </w:rPr>
        <w:t xml:space="preserve">[r35] </w:t>
      </w:r>
      <w:r>
        <w:rPr>
          <w:sz w:val="18"/>
        </w:rPr>
        <w:t xml:space="preserve">Yuan BJ, Shearer DW, Barei DP, Nork SE. Intertrochanteric Osteotomy for Femoral Neck Nonunion: Does "Undercorrection" Result in an Acceptable Rate of Femoral Neck Union? J Orthop Trauma 2017;31(8):420-426. doi:10.1097/BOT.0000000000000869 </w:t>
      </w:r>
      <w:r>
        <w:rPr>
          <w:i/>
          <w:color w:val="5A6469"/>
          <w:sz w:val="17"/>
        </w:rPr>
        <w:t xml:space="preserve">(cohorte · acceso resumen) </w:t>
      </w:r>
      <w:hyperlink r:id="rId42">
        <w:r>
          <w:rPr>
            <w:color w:val="0563C1"/>
            <w:u w:val="single"/>
            <w:sz w:val="18"/>
          </w:rPr>
          <w:t xml:space="preserve">https://doi.org/10.1097/BOT.0000000000000869</w:t>
        </w:r>
      </w:hyperlink>
    </w:p>
    <w:p>
      <w:pPr>
        <w:spacing w:after="60"/>
        <w:ind w:left="510" w:hanging="510"/>
      </w:pPr>
      <w:r>
        <w:rPr>
          <w:b/>
          <w:sz w:val="18"/>
        </w:rPr>
        <w:t xml:space="preserve">[r36] </w:t>
      </w:r>
      <w:r>
        <w:rPr>
          <w:sz w:val="18"/>
        </w:rPr>
        <w:t xml:space="preserve">Oladeji AK, Cummings J, Minaie A, Landau AJ, Gordon JE, Hosseinzadeh P. Blade plate versus locking plate fixation of proximal femoral varus osteotomy in children with cerebral palsy. J Pediatr Orthop B 2023;32(1):72-79. doi:10.1097/BPB.0000000000000962 </w:t>
      </w:r>
      <w:r>
        <w:rPr>
          <w:i/>
          <w:color w:val="5A6469"/>
          <w:sz w:val="17"/>
        </w:rPr>
        <w:t xml:space="preserve">(cohorte · acceso resumen) </w:t>
      </w:r>
      <w:hyperlink r:id="rId43">
        <w:r>
          <w:rPr>
            <w:color w:val="0563C1"/>
            <w:u w:val="single"/>
            <w:sz w:val="18"/>
          </w:rPr>
          <w:t xml:space="preserve">https://doi.org/10.1097/BPB.0000000000000962</w:t>
        </w:r>
      </w:hyperlink>
    </w:p>
    <w:p>
      <w:pPr>
        <w:spacing w:after="60"/>
        <w:ind w:left="510" w:hanging="510"/>
      </w:pPr>
      <w:r>
        <w:rPr>
          <w:b/>
          <w:sz w:val="18"/>
        </w:rPr>
        <w:t xml:space="preserve">[r37] </w:t>
      </w:r>
      <w:r>
        <w:rPr>
          <w:sz w:val="18"/>
        </w:rPr>
        <w:t xml:space="preserve">Le Baron M, Battut T, Bégué T, Ehlinger M, Flecher X, SOFCOT. Minimally invasive surgery of femoral periprosthetic fractures increases the rate of consolidation and decreases time to bone healing without a higher rate of complications. Orthop Traumatol Surg Res 2024;110(7):103866. doi:10.1016/j.otsr.2024.103866 </w:t>
      </w:r>
      <w:r>
        <w:rPr>
          <w:i/>
          <w:color w:val="5A6469"/>
          <w:sz w:val="17"/>
        </w:rPr>
        <w:t xml:space="preserve">(cohorte · acceso resumen) </w:t>
      </w:r>
      <w:hyperlink r:id="rId44">
        <w:r>
          <w:rPr>
            <w:color w:val="0563C1"/>
            <w:u w:val="single"/>
            <w:sz w:val="18"/>
          </w:rPr>
          <w:t xml:space="preserve">https://doi.org/10.1016/j.otsr.2024.103866</w:t>
        </w:r>
      </w:hyperlink>
    </w:p>
    <w:p>
      <w:pPr>
        <w:spacing w:after="60"/>
        <w:ind w:left="510" w:hanging="510"/>
      </w:pPr>
      <w:r>
        <w:rPr>
          <w:b/>
          <w:sz w:val="18"/>
        </w:rPr>
        <w:t xml:space="preserve">[r38] </w:t>
      </w:r>
      <w:r>
        <w:rPr>
          <w:sz w:val="18"/>
        </w:rPr>
        <w:t xml:space="preserve">Subramanian T, Halayqeh S, Mazzucco M, Cahill MJ, Eurich J, Gausden EB, et al. Plate Versus Nail Fixation in Periprosthetic Distal Femur Fractures: An Updated Systematic Review and Meta-Analysis. HSS J. 2026 sep 3:15563316261481420. Publicado en línea antes de impresión. doi:10.1177/15563316261481420 </w:t>
      </w:r>
      <w:r>
        <w:rPr>
          <w:i/>
          <w:color w:val="5A6469"/>
          <w:sz w:val="17"/>
        </w:rPr>
        <w:t xml:space="preserve">(RS-MA · acceso resumen) </w:t>
      </w:r>
      <w:hyperlink r:id="rId45">
        <w:r>
          <w:rPr>
            <w:color w:val="0563C1"/>
            <w:u w:val="single"/>
            <w:sz w:val="18"/>
          </w:rPr>
          <w:t xml:space="preserve">https://doi.org/10.1177/15563316261481420</w:t>
        </w:r>
      </w:hyperlink>
    </w:p>
    <w:p>
      <w:pPr>
        <w:pStyle w:val="Heading1"/>
      </w:pPr>
      <w:r>
        <w:t>Técnica paso a paso</w:t>
      </w:r>
    </w:p>
    <w:p>
      <w:r>
        <w:rPr/>
        <w:t>Tres ideas ordenan todos los pasos. Primera, entras por un plano sin nervios mayores y te quedas sobre el hueso [r1]. Segunda, las perforantes se buscan; no se esperan [r2]. Tercera, la incisión se dibuja a la medida del implante y no al revés [r14]. La secuencia sigue el abordaje abierto de la diáfisis; las variantes de cadera y de fémur distal se indican en cada paso. Lo que no tiene estudio detrás se rotula (práctica habitual / opinión experta).</w:t>
      </w:r>
    </w:p>
    <w:p>
      <w:r>
        <w:rPr>
          <w:b/>
        </w:rPr>
        <w:t>Errores frecuentes del residente.</w:t>
      </w:r>
    </w:p>
    <w:p>
      <w:pPr>
        <w:pStyle w:val="ListBullet"/>
      </w:pPr>
      <w:r>
        <w:rPr/>
        <w:t>No buscar las perforantes y confiar en que «por aquí no hay»: pasan a todos los niveles entre 14,0 y 36,5 cm de la espina ilíaca [r2].</w:t>
      </w:r>
    </w:p>
    <w:p>
      <w:pPr>
        <w:pStyle w:val="ListBullet"/>
      </w:pPr>
      <w:r>
        <w:rPr/>
        <w:t>Hacer demasiado pequeña la incisión para los tornillos percutáneos [r20].</w:t>
      </w:r>
    </w:p>
    <w:p>
      <w:pPr>
        <w:pStyle w:val="ListBullet"/>
      </w:pPr>
      <w:r>
        <w:rPr/>
        <w:t>Fijar la MIPO sin comparar rotación con el lado sano [r5].</w:t>
      </w:r>
    </w:p>
    <w:p>
      <w:pPr>
        <w:pStyle w:val="ListBullet"/>
      </w:pPr>
      <w:r>
        <w:rPr/>
        <w:t>Insistir varias veces con la guía del cuello: debilita la cortical lateral [r15].</w:t>
      </w:r>
    </w:p>
    <w:p>
      <w:pPr>
        <w:pStyle w:val="ListBullet"/>
      </w:pPr>
      <w:r>
        <w:rPr/>
        <w:t>Poste perineal sin acolchar [r17].</w:t>
      </w:r>
    </w:p>
    <w:p>
      <w:pPr>
        <w:pStyle w:val="ListBullet"/>
      </w:pPr>
      <w:r>
        <w:rPr/>
        <w:t>Taladrar profundo en los orificios 3 y 4 sin pensar en la arteria femoral profunda [r16].</w:t>
      </w:r>
    </w:p>
    <w:p>
      <w:pPr>
        <w:keepNext/>
      </w:pPr>
      <w:r>
        <w:rPr>
          <w:b/>
          <w:color w:val="0F5F6B"/>
          <w:sz w:val="20"/>
        </w:rPr>
        <w:t>Tabla 4. Posición y mesa: qué ganas y qué cuidas</w:t>
      </w:r>
      <w:r>
        <w:rPr>
          <w:color w:val="5A6469"/>
          <w:sz w:val="18"/>
        </w:rPr>
        <w:t xml:space="preserve">  [r15] [r39] [r17]</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Opción</w:t>
            </w:r>
          </w:p>
        </w:tc>
        <w:tc>
          <w:tcPr>
            <w:tcW w:type="dxa" w:w="2353"/>
            <w:shd w:val="clear" w:color="auto" w:fill="0F5F6B"/>
          </w:tcPr>
          <w:p>
            <w:r/>
            <w:r>
              <w:rPr>
                <w:b/>
                <w:color w:val="FFFFFF"/>
                <w:sz w:val="20"/>
              </w:rPr>
              <w:t>Cuándo se usa</w:t>
            </w:r>
          </w:p>
        </w:tc>
        <w:tc>
          <w:tcPr>
            <w:tcW w:type="dxa" w:w="2353"/>
            <w:shd w:val="clear" w:color="auto" w:fill="0F5F6B"/>
          </w:tcPr>
          <w:p>
            <w:r/>
            <w:r>
              <w:rPr>
                <w:b/>
                <w:color w:val="FFFFFF"/>
                <w:sz w:val="20"/>
              </w:rPr>
              <w:t>Qué ganas</w:t>
            </w:r>
          </w:p>
        </w:tc>
        <w:tc>
          <w:tcPr>
            <w:tcW w:type="dxa" w:w="2353"/>
            <w:shd w:val="clear" w:color="auto" w:fill="0F5F6B"/>
          </w:tcPr>
          <w:p>
            <w:r/>
            <w:r>
              <w:rPr>
                <w:b/>
                <w:color w:val="FFFFFF"/>
                <w:sz w:val="20"/>
              </w:rPr>
              <w:t>Qué cuidas</w:t>
            </w:r>
          </w:p>
        </w:tc>
      </w:tr>
      <w:tr>
        <w:tc>
          <w:tcPr>
            <w:tcW w:type="dxa" w:w="2353"/>
          </w:tcPr>
          <w:p>
            <w:r/>
            <w:r>
              <w:rPr>
                <w:sz w:val="20"/>
              </w:rPr>
              <w:t>Supino en mesa radiolúcida plana, con la pierna libre</w:t>
            </w:r>
          </w:p>
        </w:tc>
        <w:tc>
          <w:tcPr>
            <w:tcW w:type="dxa" w:w="2353"/>
          </w:tcPr>
          <w:p>
            <w:r/>
            <w:r>
              <w:rPr>
                <w:sz w:val="20"/>
              </w:rPr>
              <w:t>Placas de diáfisis y de fémur distal (práctica habitual / opinión experta)</w:t>
            </w:r>
          </w:p>
        </w:tc>
        <w:tc>
          <w:tcPr>
            <w:tcW w:type="dxa" w:w="2353"/>
          </w:tcPr>
          <w:p>
            <w:r/>
            <w:r>
              <w:rPr>
                <w:sz w:val="20"/>
              </w:rPr>
              <w:t>Puedes comparar longitud y rotación con la pierna sana (práctica habitual / opinión experta)</w:t>
            </w:r>
          </w:p>
        </w:tc>
        <w:tc>
          <w:tcPr>
            <w:tcW w:type="dxa" w:w="2353"/>
          </w:tcPr>
          <w:p>
            <w:r/>
            <w:r>
              <w:rPr>
                <w:sz w:val="20"/>
              </w:rPr>
              <w:t>Hace falta un ayudante para la tracción manual (práctica habitual / opinión experta)</w:t>
            </w:r>
          </w:p>
        </w:tc>
      </w:tr>
      <w:tr>
        <w:tc>
          <w:tcPr>
            <w:tcW w:type="dxa" w:w="2353"/>
            <w:shd w:val="clear" w:color="auto" w:fill="EEF3F4"/>
          </w:tcPr>
          <w:p>
            <w:r/>
            <w:r>
              <w:rPr>
                <w:sz w:val="20"/>
              </w:rPr>
              <w:t>Mesa de tracción (con poste perineal o con soporte femoral dedicado)</w:t>
            </w:r>
          </w:p>
        </w:tc>
        <w:tc>
          <w:tcPr>
            <w:tcW w:type="dxa" w:w="2353"/>
            <w:shd w:val="clear" w:color="auto" w:fill="EEF3F4"/>
          </w:tcPr>
          <w:p>
            <w:r/>
            <w:r>
              <w:rPr>
                <w:sz w:val="20"/>
              </w:rPr>
              <w:t>Tornillo deslizante con reducción cerrada previa [r15]; MIPO distal con soporte femoral dedicado [r39]</w:t>
            </w:r>
          </w:p>
        </w:tc>
        <w:tc>
          <w:tcPr>
            <w:tcW w:type="dxa" w:w="2353"/>
            <w:shd w:val="clear" w:color="auto" w:fill="EEF3F4"/>
          </w:tcPr>
          <w:p>
            <w:r/>
            <w:r>
              <w:rPr>
                <w:sz w:val="20"/>
              </w:rPr>
              <w:t>Con soporte femoral dedicado, solo 1 de 25 pacientes superó 15° de malrotación en MIPO distal [r39]</w:t>
            </w:r>
          </w:p>
        </w:tc>
        <w:tc>
          <w:tcPr>
            <w:tcW w:type="dxa" w:w="2353"/>
            <w:shd w:val="clear" w:color="auto" w:fill="EEF3F4"/>
          </w:tcPr>
          <w:p>
            <w:r/>
            <w:r>
              <w:rPr>
                <w:sz w:val="20"/>
              </w:rPr>
              <w:t>Si lleva poste perineal: lesión de partes blandas perineales en 11 pacientes (3,0 %) [r17]; con el paciente supino el foco puede desplazarse hacia atrás [r15]</w:t>
            </w:r>
          </w:p>
        </w:tc>
      </w:tr>
    </w:tbl>
    <w:p/>
    <w:p>
      <w:pPr>
        <w:keepNext/>
      </w:pPr>
      <w:r>
        <w:rPr>
          <w:b/>
          <w:color w:val="0F5F6B"/>
          <w:sz w:val="20"/>
        </w:rPr>
        <w:t>Figura 2. Distancia punta-ápex y salida del tornillo en 198 fracturas pertrocantéreas</w:t>
      </w:r>
      <w:r>
        <w:rPr>
          <w:color w:val="5A6469"/>
          <w:sz w:val="18"/>
        </w:rPr>
        <w:t xml:space="preserve">  [r7]</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4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Giannoudis PV, Pape HC, Schütz M. Lateral approach to the femoral shaft [Internet]. En: AO Surgery Reference. Davos: AO Foundation [consultado 2026 oct 12]. Disponible en: https://surgeryreference.aofoundation.org/orthopedic-trauma/adult-trauma/femoral-shaft/approach/lateral-approach </w:t>
      </w:r>
      <w:r>
        <w:rPr>
          <w:i/>
          <w:color w:val="5A6469"/>
          <w:sz w:val="17"/>
        </w:rPr>
        <w:t xml:space="preserve">(web-oficial · acceso abierto) </w:t>
      </w:r>
      <w:hyperlink r:id="rId11">
        <w:r>
          <w:rPr>
            <w:color w:val="0563C1"/>
            <w:u w:val="single"/>
            <w:sz w:val="18"/>
          </w:rPr>
          <w:t xml:space="preserve">https://surgeryreference.aofoundation.org/orthopedic-trauma/adult-trauma/femoral-shaft/approach/lateral-approach</w:t>
        </w:r>
      </w:hyperlink>
    </w:p>
    <w:p>
      <w:pPr>
        <w:spacing w:after="60"/>
        <w:ind w:left="510" w:hanging="510"/>
      </w:pPr>
      <w:r>
        <w:rPr>
          <w:b/>
          <w:sz w:val="18"/>
        </w:rPr>
        <w:t xml:space="preserve">[r2] </w:t>
      </w:r>
      <w:r>
        <w:rPr>
          <w:sz w:val="18"/>
        </w:rPr>
        <w:t xml:space="preserve">Pretterklieber B, Pablik E, Dorfmeister K, Pretterklieber ML. There are no safe areas for avoiding the perforating arteries along the proximal part of the femur: A word of caution. Clin Anat 2020;33(4):507-515. doi:10.1002/ca.23398 </w:t>
      </w:r>
      <w:r>
        <w:rPr>
          <w:i/>
          <w:color w:val="5A6469"/>
          <w:sz w:val="17"/>
        </w:rPr>
        <w:t xml:space="preserve">(serie · acceso abierto) </w:t>
      </w:r>
      <w:hyperlink r:id="rId17">
        <w:r>
          <w:rPr>
            <w:color w:val="0563C1"/>
            <w:u w:val="single"/>
            <w:sz w:val="18"/>
          </w:rPr>
          <w:t xml:space="preserve">https://doi.org/10.1002/ca.23398</w:t>
        </w:r>
      </w:hyperlink>
    </w:p>
    <w:p>
      <w:pPr>
        <w:spacing w:after="60"/>
        <w:ind w:left="510" w:hanging="510"/>
      </w:pPr>
      <w:r>
        <w:rPr>
          <w:b/>
          <w:sz w:val="18"/>
        </w:rPr>
        <w:t xml:space="preserve">[r5] </w:t>
      </w:r>
      <w:r>
        <w:rPr>
          <w:sz w:val="18"/>
        </w:rPr>
        <w:t xml:space="preserve">Kim JW, Oh CW, Oh JK, Park IH, Kyung HS, Park KH, et al. Malalignment after minimally invasive plate osteosynthesis in distal femoral fractures. Injury 2017;48(3):751-757. doi:10.1016/j.injury.2017.01.019 </w:t>
      </w:r>
      <w:r>
        <w:rPr>
          <w:i/>
          <w:color w:val="5A6469"/>
          <w:sz w:val="17"/>
        </w:rPr>
        <w:t xml:space="preserve">(serie · acceso resumen) </w:t>
      </w:r>
      <w:hyperlink r:id="rId29">
        <w:r>
          <w:rPr>
            <w:color w:val="0563C1"/>
            <w:u w:val="single"/>
            <w:sz w:val="18"/>
          </w:rPr>
          <w:t xml:space="preserve">https://doi.org/10.1016/j.injury.2017.01.019</w:t>
        </w:r>
      </w:hyperlink>
    </w:p>
    <w:p>
      <w:pPr>
        <w:spacing w:after="60"/>
        <w:ind w:left="510" w:hanging="510"/>
      </w:pPr>
      <w:r>
        <w:rPr>
          <w:b/>
          <w:sz w:val="18"/>
        </w:rPr>
        <w:t xml:space="preserve">[r7] </w:t>
      </w:r>
      <w:r>
        <w:rPr>
          <w:sz w:val="18"/>
        </w:rPr>
        <w:t xml:space="preserve">Baumgaertner MR, Curtin SL, Lindskog DM, Keggi JM. The value of the tip-apex distance in predicting failure of fixation of peritrochanteric fractures of the hip. J Bone Joint Surg Am 1995;77(7):1058-64. doi:10.2106/00004623-199507000-00012 </w:t>
      </w:r>
      <w:r>
        <w:rPr>
          <w:i/>
          <w:color w:val="5A6469"/>
          <w:sz w:val="17"/>
        </w:rPr>
        <w:t xml:space="preserve">(cohorte · acceso resumen) </w:t>
      </w:r>
      <w:hyperlink r:id="rId47">
        <w:r>
          <w:rPr>
            <w:color w:val="0563C1"/>
            <w:u w:val="single"/>
            <w:sz w:val="18"/>
          </w:rPr>
          <w:t xml:space="preserve">https://doi.org/10.2106/00004623-199507000-00012</w:t>
        </w:r>
      </w:hyperlink>
    </w:p>
    <w:p>
      <w:pPr>
        <w:spacing w:after="60"/>
        <w:ind w:left="510" w:hanging="510"/>
      </w:pPr>
      <w:r>
        <w:rPr>
          <w:b/>
          <w:sz w:val="18"/>
        </w:rPr>
        <w:t xml:space="preserve">[r9] </w:t>
      </w:r>
      <w:r>
        <w:rPr>
          <w:sz w:val="18"/>
        </w:rPr>
        <w:t xml:space="preserve">Grob K, Manestar M, Lang A, Ackland T, Gilbey H, Kuster MS. Effects of ligation of lateral intermuscular septum perforating vessels on blood supply to the femur. Injury 2015;46(12):2461-7. doi:10.1016/j.injury.2015.09.029 </w:t>
      </w:r>
      <w:r>
        <w:rPr>
          <w:i/>
          <w:color w:val="5A6469"/>
          <w:sz w:val="17"/>
        </w:rPr>
        <w:t xml:space="preserve">(serie · acceso resumen) </w:t>
      </w:r>
      <w:hyperlink r:id="rId19">
        <w:r>
          <w:rPr>
            <w:color w:val="0563C1"/>
            <w:u w:val="single"/>
            <w:sz w:val="18"/>
          </w:rPr>
          <w:t xml:space="preserve">https://doi.org/10.1016/j.injury.2015.09.029</w:t>
        </w:r>
      </w:hyperlink>
    </w:p>
    <w:p>
      <w:pPr>
        <w:spacing w:after="60"/>
        <w:ind w:left="510" w:hanging="510"/>
      </w:pPr>
      <w:r>
        <w:rPr>
          <w:b/>
          <w:sz w:val="18"/>
        </w:rPr>
        <w:t xml:space="preserve">[r10] </w:t>
      </w:r>
      <w:r>
        <w:rPr>
          <w:sz w:val="18"/>
        </w:rPr>
        <w:t xml:space="preserve">Gebhard F, Kregor P, Oliver C, Nousiainen MT. Lateral/anterolateral approach to the distal femur [Internet]. En: AO Surgery Reference. Davos: AO Foundation [consultado 2026 oct 12]. Disponible en: https://surgeryreference.aofoundation.org/orthopedic-trauma/adult-trauma/distal-femur/approach/lateral-anterolateral-approach-to-the-distal-femur </w:t>
      </w:r>
      <w:r>
        <w:rPr>
          <w:i/>
          <w:color w:val="5A6469"/>
          <w:sz w:val="17"/>
        </w:rPr>
        <w:t xml:space="preserve">(web-oficial · acceso abierto) </w:t>
      </w:r>
      <w:hyperlink r:id="rId12">
        <w:r>
          <w:rPr>
            <w:color w:val="0563C1"/>
            <w:u w:val="single"/>
            <w:sz w:val="18"/>
          </w:rPr>
          <w:t xml:space="preserve">https://surgeryreference.aofoundation.org/orthopedic-trauma/adult-trauma/distal-femur/approach/lateral-anterolateral-approach-to-the-distal-femur</w:t>
        </w:r>
      </w:hyperlink>
    </w:p>
    <w:p>
      <w:pPr>
        <w:spacing w:after="60"/>
        <w:ind w:left="510" w:hanging="510"/>
      </w:pPr>
      <w:r>
        <w:rPr>
          <w:b/>
          <w:sz w:val="18"/>
        </w:rPr>
        <w:t xml:space="preserve">[r11] </w:t>
      </w:r>
      <w:r>
        <w:rPr>
          <w:sz w:val="18"/>
        </w:rPr>
        <w:t xml:space="preserve">Lill M, Attal R, Rudisch A, Wick MC, Blauth M, Lutz M. Does MIPO of fractures of the distal femur result in more rotational malalignment than ORIF? A retrospective study. Eur J Trauma Emerg Surg 2016;42(6):733-740. doi:10.1007/s00068-015-0595-8 </w:t>
      </w:r>
      <w:r>
        <w:rPr>
          <w:i/>
          <w:color w:val="5A6469"/>
          <w:sz w:val="17"/>
        </w:rPr>
        <w:t xml:space="preserve">(cohorte · acceso resumen) </w:t>
      </w:r>
      <w:hyperlink r:id="rId48">
        <w:r>
          <w:rPr>
            <w:color w:val="0563C1"/>
            <w:u w:val="single"/>
            <w:sz w:val="18"/>
          </w:rPr>
          <w:t xml:space="preserve">https://doi.org/10.1007/s00068-015-0595-8</w:t>
        </w:r>
      </w:hyperlink>
    </w:p>
    <w:p>
      <w:pPr>
        <w:spacing w:after="60"/>
        <w:ind w:left="510" w:hanging="510"/>
      </w:pPr>
      <w:r>
        <w:rPr>
          <w:b/>
          <w:sz w:val="18"/>
        </w:rPr>
        <w:t xml:space="preserve">[r13] </w:t>
      </w:r>
      <w:r>
        <w:rPr>
          <w:sz w:val="18"/>
        </w:rPr>
        <w:t xml:space="preserve">Apivatthakakul T, Chiewcharntanakit S. Minimally invasive plate osteosynthesis (MIPO) in the treatment of the femoral shaft fracture where intramedullary nailing is not indicated. Int Orthop 2009;33(4):1119-26. doi:10.1007/s00264-008-0603-2 </w:t>
      </w:r>
      <w:r>
        <w:rPr>
          <w:i/>
          <w:color w:val="5A6469"/>
          <w:sz w:val="17"/>
        </w:rPr>
        <w:t xml:space="preserve">(serie · acceso resumen) </w:t>
      </w:r>
      <w:hyperlink r:id="rId34">
        <w:r>
          <w:rPr>
            <w:color w:val="0563C1"/>
            <w:u w:val="single"/>
            <w:sz w:val="18"/>
          </w:rPr>
          <w:t xml:space="preserve">https://doi.org/10.1007/s00264-008-0603-2</w:t>
        </w:r>
      </w:hyperlink>
    </w:p>
    <w:p>
      <w:pPr>
        <w:spacing w:after="60"/>
        <w:ind w:left="510" w:hanging="510"/>
      </w:pPr>
      <w:r>
        <w:rPr>
          <w:b/>
          <w:sz w:val="18"/>
        </w:rPr>
        <w:t xml:space="preserve">[r14] </w:t>
      </w:r>
      <w:r>
        <w:rPr>
          <w:sz w:val="18"/>
        </w:rPr>
        <w:t xml:space="preserve">Apivatthakakul T, Oh JK. Limited lateral approach for implant insertion in the proximal femur [Internet]. En: AO Surgery Reference. Davos: AO Foundation [consultado 2026 oct 12]. Disponible en: https://surgeryreference.aofoundation.org/orthopedic-trauma/adult-trauma/proximal-femur/approach/limited-lateral-approach-for-implant-insertion </w:t>
      </w:r>
      <w:r>
        <w:rPr>
          <w:i/>
          <w:color w:val="5A6469"/>
          <w:sz w:val="17"/>
        </w:rPr>
        <w:t xml:space="preserve">(web-oficial · acceso abierto) </w:t>
      </w:r>
      <w:hyperlink r:id="rId13">
        <w:r>
          <w:rPr>
            <w:color w:val="0563C1"/>
            <w:u w:val="single"/>
            <w:sz w:val="18"/>
          </w:rPr>
          <w:t xml:space="preserve">https://surgeryreference.aofoundation.org/orthopedic-trauma/adult-trauma/proximal-femur/approach/limited-lateral-approach-for-implant-insertion</w:t>
        </w:r>
      </w:hyperlink>
    </w:p>
    <w:p>
      <w:pPr>
        <w:spacing w:after="60"/>
        <w:ind w:left="510" w:hanging="510"/>
      </w:pPr>
      <w:r>
        <w:rPr>
          <w:b/>
          <w:sz w:val="18"/>
        </w:rPr>
        <w:t xml:space="preserve">[r15] </w:t>
      </w:r>
      <w:r>
        <w:rPr>
          <w:sz w:val="18"/>
        </w:rPr>
        <w:t xml:space="preserve">Shih Y, Bartschat NI, Cheng EY. Sliding Hip Screw and Side Plate for Intertrochanteric Hip Fractures. JBJS Essent Surg Tech 2022;12(1):e19.00038. doi:10.2106/JBJS.ST.19.00038 </w:t>
      </w:r>
      <w:r>
        <w:rPr>
          <w:i/>
          <w:color w:val="5A6469"/>
          <w:sz w:val="17"/>
        </w:rPr>
        <w:t xml:space="preserve">(revision · acceso resumen) </w:t>
      </w:r>
      <w:hyperlink r:id="rId49">
        <w:r>
          <w:rPr>
            <w:color w:val="0563C1"/>
            <w:u w:val="single"/>
            <w:sz w:val="18"/>
          </w:rPr>
          <w:t xml:space="preserve">https://doi.org/10.2106/JBJS.ST.19.00038</w:t>
        </w:r>
      </w:hyperlink>
    </w:p>
    <w:p>
      <w:pPr>
        <w:spacing w:after="60"/>
        <w:ind w:left="510" w:hanging="510"/>
      </w:pPr>
      <w:r>
        <w:rPr>
          <w:b/>
          <w:sz w:val="18"/>
        </w:rPr>
        <w:t xml:space="preserve">[r16] </w:t>
      </w:r>
      <w:r>
        <w:rPr>
          <w:sz w:val="18"/>
        </w:rPr>
        <w:t xml:space="preserve">Mahmoud SSS, Ahmed B, Hamid K, Milburn S, Baker P. Identification of the medial femoral safe zone for drilling during dynamic hip screw side plate fixation: A CT angiogram tracing of the profunda femoris artery. Injury 2019;50(3):720-726. doi:10.1016/j.injury.2019.01.010 </w:t>
      </w:r>
      <w:r>
        <w:rPr>
          <w:i/>
          <w:color w:val="5A6469"/>
          <w:sz w:val="17"/>
        </w:rPr>
        <w:t xml:space="preserve">(serie · acceso resumen) </w:t>
      </w:r>
      <w:hyperlink r:id="rId20">
        <w:r>
          <w:rPr>
            <w:color w:val="0563C1"/>
            <w:u w:val="single"/>
            <w:sz w:val="18"/>
          </w:rPr>
          <w:t xml:space="preserve">https://doi.org/10.1016/j.injury.2019.01.010</w:t>
        </w:r>
      </w:hyperlink>
    </w:p>
    <w:p>
      <w:pPr>
        <w:spacing w:after="60"/>
        <w:ind w:left="510" w:hanging="510"/>
      </w:pPr>
      <w:r>
        <w:rPr>
          <w:b/>
          <w:sz w:val="18"/>
        </w:rPr>
        <w:t xml:space="preserve">[r17] </w:t>
      </w:r>
      <w:r>
        <w:rPr>
          <w:sz w:val="18"/>
        </w:rPr>
        <w:t xml:space="preserve">Attenasio A, Kraeutler MJ, Hong IS, Baskar S, Patel DV, Wright C, et al. Are complications related to the perineal post on orthopaedic traction tables for surgical fracture fixation more common than we think? A systematic review. Patient Saf Surg 2023;17(1):5. doi:10.1186/s13037-023-00355-y </w:t>
      </w:r>
      <w:r>
        <w:rPr>
          <w:i/>
          <w:color w:val="5A6469"/>
          <w:sz w:val="17"/>
        </w:rPr>
        <w:t xml:space="preserve">(RS-MA · acceso abierto) </w:t>
      </w:r>
      <w:hyperlink r:id="rId50">
        <w:r>
          <w:rPr>
            <w:color w:val="0563C1"/>
            <w:u w:val="single"/>
            <w:sz w:val="18"/>
          </w:rPr>
          <w:t xml:space="preserve">https://doi.org/10.1186/s13037-023-00355-y</w:t>
        </w:r>
      </w:hyperlink>
    </w:p>
    <w:p>
      <w:pPr>
        <w:spacing w:after="60"/>
        <w:ind w:left="510" w:hanging="510"/>
      </w:pPr>
      <w:r>
        <w:rPr>
          <w:b/>
          <w:sz w:val="18"/>
        </w:rPr>
        <w:t xml:space="preserve">[r18] </w:t>
      </w:r>
      <w:r>
        <w:rPr>
          <w:sz w:val="18"/>
        </w:rPr>
        <w:t xml:space="preserve">Apivatthakakul T, Oh JK. Direct lateral approach to the proximal femur [Internet]. En: AO Surgery Reference. Davos: AO Foundation [consultado 2026 oct 12]. Disponible en: https://surgeryreference.aofoundation.org/orthopedic-trauma/adult-trauma/proximal-femur/approach/direct-lateral-approach </w:t>
      </w:r>
      <w:r>
        <w:rPr>
          <w:i/>
          <w:color w:val="5A6469"/>
          <w:sz w:val="17"/>
        </w:rPr>
        <w:t xml:space="preserve">(web-oficial · acceso abierto) </w:t>
      </w:r>
      <w:hyperlink r:id="rId21">
        <w:r>
          <w:rPr>
            <w:color w:val="0563C1"/>
            <w:u w:val="single"/>
            <w:sz w:val="18"/>
          </w:rPr>
          <w:t xml:space="preserve">https://surgeryreference.aofoundation.org/orthopedic-trauma/adult-trauma/proximal-femur/approach/direct-lateral-approach</w:t>
        </w:r>
      </w:hyperlink>
    </w:p>
    <w:p>
      <w:pPr>
        <w:spacing w:after="60"/>
        <w:ind w:left="510" w:hanging="510"/>
      </w:pPr>
      <w:r>
        <w:rPr>
          <w:b/>
          <w:sz w:val="18"/>
        </w:rPr>
        <w:t xml:space="preserve">[r20] </w:t>
      </w:r>
      <w:r>
        <w:rPr>
          <w:sz w:val="18"/>
        </w:rPr>
        <w:t xml:space="preserve">Gebhard F, Kregor P, Oliver C, Nousiainen MT. MIPO approach to the distal femur from lateral/anterolateral [Internet]. En: AO Surgery Reference. Davos: AO Foundation [consultado 2026 oct 12]. Disponible en: https://surgeryreference.aofoundation.org/orthopedic-trauma/adult-trauma/distal-femur/approach/mipo-approach-to-the-distal-femur-from-lateral-anterolateral </w:t>
      </w:r>
      <w:r>
        <w:rPr>
          <w:i/>
          <w:color w:val="5A6469"/>
          <w:sz w:val="17"/>
        </w:rPr>
        <w:t xml:space="preserve">(web-oficial · acceso abierto) </w:t>
      </w:r>
      <w:hyperlink r:id="rId14">
        <w:r>
          <w:rPr>
            <w:color w:val="0563C1"/>
            <w:u w:val="single"/>
            <w:sz w:val="18"/>
          </w:rPr>
          <w:t xml:space="preserve">https://surgeryreference.aofoundation.org/orthopedic-trauma/adult-trauma/distal-femur/approach/mipo-approach-to-the-distal-femur-from-lateral-anterolateral</w:t>
        </w:r>
      </w:hyperlink>
    </w:p>
    <w:p>
      <w:pPr>
        <w:spacing w:after="60"/>
        <w:ind w:left="510" w:hanging="510"/>
      </w:pPr>
      <w:r>
        <w:rPr>
          <w:b/>
          <w:sz w:val="18"/>
        </w:rPr>
        <w:t xml:space="preserve">[r21] </w:t>
      </w:r>
      <w:r>
        <w:rPr>
          <w:sz w:val="18"/>
        </w:rPr>
        <w:t xml:space="preserve">Manner M, Rösch B, Roy K. [Vascular injuries complicating osteosynthesis in proximal femur fractures]. Unfallchirurg 1999;102(3):227-31. doi:10.1007/s001130050395 </w:t>
      </w:r>
      <w:r>
        <w:rPr>
          <w:i/>
          <w:color w:val="5A6469"/>
          <w:sz w:val="17"/>
        </w:rPr>
        <w:t xml:space="preserve">(serie · acceso resumen) </w:t>
      </w:r>
      <w:hyperlink r:id="rId23">
        <w:r>
          <w:rPr>
            <w:color w:val="0563C1"/>
            <w:u w:val="single"/>
            <w:sz w:val="18"/>
          </w:rPr>
          <w:t xml:space="preserve">https://doi.org/10.1007/s001130050395</w:t>
        </w:r>
      </w:hyperlink>
    </w:p>
    <w:p>
      <w:pPr>
        <w:spacing w:after="60"/>
        <w:ind w:left="510" w:hanging="510"/>
      </w:pPr>
      <w:r>
        <w:rPr>
          <w:b/>
          <w:sz w:val="18"/>
        </w:rPr>
        <w:t xml:space="preserve">[r25] </w:t>
      </w:r>
      <w:r>
        <w:rPr>
          <w:sz w:val="18"/>
        </w:rPr>
        <w:t xml:space="preserve">Giannoudis PV, Pape HC, Schütz M. Minimally invasive osteosynthesis approach to the femoral shaft [Internet]. En: AO Surgery Reference. Davos: AO Foundation [consultado 2026 oct 12]. Disponible en: https://surgeryreference.aofoundation.org/orthopedic-trauma/adult-trauma/femoral-shaft/approach/minimally-invasive-osteosynthesis-approach </w:t>
      </w:r>
      <w:r>
        <w:rPr>
          <w:i/>
          <w:color w:val="5A6469"/>
          <w:sz w:val="17"/>
        </w:rPr>
        <w:t xml:space="preserve">(web-oficial · acceso abierto) </w:t>
      </w:r>
      <w:hyperlink r:id="rId15">
        <w:r>
          <w:rPr>
            <w:color w:val="0563C1"/>
            <w:u w:val="single"/>
            <w:sz w:val="18"/>
          </w:rPr>
          <w:t xml:space="preserve">https://surgeryreference.aofoundation.org/orthopedic-trauma/adult-trauma/femoral-shaft/approach/minimally-invasive-osteosynthesis-approach</w:t>
        </w:r>
      </w:hyperlink>
    </w:p>
    <w:p>
      <w:pPr>
        <w:spacing w:after="60"/>
        <w:ind w:left="510" w:hanging="510"/>
      </w:pPr>
      <w:r>
        <w:rPr>
          <w:b/>
          <w:sz w:val="18"/>
        </w:rPr>
        <w:t xml:space="preserve">[r28] </w:t>
      </w:r>
      <w:r>
        <w:rPr>
          <w:sz w:val="18"/>
        </w:rPr>
        <w:t xml:space="preserve">Wang MT, An VVG, Sivakumar BS. Non-union in lateral locked plating for distal femoral fractures: A systematic review. Injury 2019;50(11):1790-1794. doi:10.1016/j.injury.2019.07.012 </w:t>
      </w:r>
      <w:r>
        <w:rPr>
          <w:i/>
          <w:color w:val="5A6469"/>
          <w:sz w:val="17"/>
        </w:rPr>
        <w:t xml:space="preserve">(RS-MA · acceso resumen) </w:t>
      </w:r>
      <w:hyperlink r:id="rId28">
        <w:r>
          <w:rPr>
            <w:color w:val="0563C1"/>
            <w:u w:val="single"/>
            <w:sz w:val="18"/>
          </w:rPr>
          <w:t xml:space="preserve">https://doi.org/10.1016/j.injury.2019.07.012</w:t>
        </w:r>
      </w:hyperlink>
    </w:p>
    <w:p>
      <w:pPr>
        <w:spacing w:after="60"/>
        <w:ind w:left="510" w:hanging="510"/>
      </w:pPr>
      <w:r>
        <w:rPr>
          <w:b/>
          <w:sz w:val="18"/>
        </w:rPr>
        <w:t xml:space="preserve">[r39] </w:t>
      </w:r>
      <w:r>
        <w:rPr>
          <w:sz w:val="18"/>
        </w:rPr>
        <w:t xml:space="preserve">Paulsson M, Ekholm C, Tranberg R, Rolfson O, Geijer M. Using a Traction Table for Fracture Reduction during Minimally Invasive Plate Osteosynthesis (MIPO) of Distal Femoral Fractures Provides Anatomical Alignment. J Clin Med 2023;12(12):4044. doi:10.3390/jcm12124044 </w:t>
      </w:r>
      <w:r>
        <w:rPr>
          <w:i/>
          <w:color w:val="5A6469"/>
          <w:sz w:val="17"/>
        </w:rPr>
        <w:t xml:space="preserve">(serie · acceso abierto) </w:t>
      </w:r>
      <w:hyperlink r:id="rId51">
        <w:r>
          <w:rPr>
            <w:color w:val="0563C1"/>
            <w:u w:val="single"/>
            <w:sz w:val="18"/>
          </w:rPr>
          <w:t xml:space="preserve">https://doi.org/10.3390/jcm12124044</w:t>
        </w:r>
      </w:hyperlink>
    </w:p>
    <w:p>
      <w:pPr>
        <w:spacing w:after="60"/>
        <w:ind w:left="510" w:hanging="510"/>
      </w:pPr>
      <w:r>
        <w:rPr>
          <w:b/>
          <w:sz w:val="18"/>
        </w:rPr>
        <w:t xml:space="preserve">[r40] </w:t>
      </w:r>
      <w:r>
        <w:rPr>
          <w:sz w:val="18"/>
        </w:rPr>
        <w:t xml:space="preserve">Levine AR, Klug T, Cross J, Salameh M, Riedel M, Leslie M. Risk factors for cut-throughs in intertrochanteric hip fracture fixation Tip-Apex Distance (TAD) &lt;10 mm and Apex-to-Center &lt;4 mm. Injury 2025;56(3):112205. doi:10.1016/j.injury.2025.112205 </w:t>
      </w:r>
      <w:r>
        <w:rPr>
          <w:i/>
          <w:color w:val="5A6469"/>
          <w:sz w:val="17"/>
        </w:rPr>
        <w:t xml:space="preserve">(cohorte · acceso resumen) </w:t>
      </w:r>
      <w:hyperlink r:id="rId52">
        <w:r>
          <w:rPr>
            <w:color w:val="0563C1"/>
            <w:u w:val="single"/>
            <w:sz w:val="18"/>
          </w:rPr>
          <w:t xml:space="preserve">https://doi.org/10.1016/j.injury.2025.112205</w:t>
        </w:r>
      </w:hyperlink>
    </w:p>
    <w:p>
      <w:pPr>
        <w:pStyle w:val="Heading1"/>
      </w:pPr>
      <w:r>
        <w:t>Comparaciones: MIPO frente a abierto, placa frente a clavo, tornillo deslizante frente a clavo</w:t>
      </w:r>
    </w:p>
    <w:p>
      <w:r>
        <w:rPr/>
        <w:t>Tres comparaciones distintas, tres niveles de certeza. Lee siempre el diseño antes de la cifra.</w:t>
      </w:r>
    </w:p>
    <w:p>
      <w:r>
        <w:rPr>
          <w:b/>
        </w:rPr>
        <w:t>MIPO frente a abierto.</w:t>
      </w:r>
      <w:r>
        <w:rPr/>
        <w:t xml:space="preserve"> La evidencia clínica es poca y en su mayoría retrospectiva. Lo que sí se repite es el balance: más biología con MIPO, más riesgo de rotación y de reducción subóptima.</w:t>
      </w:r>
    </w:p>
    <w:p>
      <w:r>
        <w:rPr>
          <w:b/>
        </w:rPr>
        <w:t>Placa frente a clavo en la diáfisis.</w:t>
      </w:r>
      <w:r>
        <w:rPr/>
        <w:t xml:space="preserve"> El clavo es el estándar en el paciente estable [r8]. Un metaanálisis de 13 estudios y 1061 pacientes halló menos tiempo operatorio, de fluoroscopia y sangrado con el clavo [r41]. La placa queda para situaciones en que el clavo no se puede o no se debe usar [r13].</w:t>
      </w:r>
    </w:p>
    <w:p>
      <w:r>
        <w:rPr>
          <w:b/>
        </w:rPr>
        <w:t>Tornillo deslizante frente a clavo cefalomedular.</w:t>
      </w:r>
      <w:r>
        <w:rPr/>
        <w:t xml:space="preserve"> Según la Cochrane 2022, en función los dos implantes quedan casi empatados; el clavo cobra menos infecciones y no uniones, pero a cambio suma fracturas ligadas al propio implante [r12]. Un metaanálisis independiente de 6 ensayos y 6 estudios no aleatorizados, con 10 402 pacientes, no encontró diferencias significativas en complicaciones mayores, no unión, infección ni mortalidad [r42].</w:t>
      </w:r>
    </w:p>
    <w:p>
      <w:pPr>
        <w:keepNext/>
      </w:pPr>
      <w:r>
        <w:rPr>
          <w:b/>
          <w:color w:val="0F5F6B"/>
          <w:sz w:val="20"/>
        </w:rPr>
        <w:t>Tabla 5. MIPO frente a abierto: qué se midió y con qué cautela</w:t>
      </w:r>
      <w:r>
        <w:rPr>
          <w:color w:val="5A6469"/>
          <w:sz w:val="18"/>
        </w:rPr>
        <w:t xml:space="preserve">  [r3] [r4] [r11] [r5] [r37] [r28]</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Estudio</w:t>
            </w:r>
          </w:p>
        </w:tc>
        <w:tc>
          <w:tcPr>
            <w:tcW w:type="dxa" w:w="2353"/>
            <w:shd w:val="clear" w:color="auto" w:fill="0F5F6B"/>
          </w:tcPr>
          <w:p>
            <w:r/>
            <w:r>
              <w:rPr>
                <w:b/>
                <w:color w:val="FFFFFF"/>
                <w:sz w:val="20"/>
              </w:rPr>
              <w:t>Diseño y población</w:t>
            </w:r>
          </w:p>
        </w:tc>
        <w:tc>
          <w:tcPr>
            <w:tcW w:type="dxa" w:w="2353"/>
            <w:shd w:val="clear" w:color="auto" w:fill="0F5F6B"/>
          </w:tcPr>
          <w:p>
            <w:r/>
            <w:r>
              <w:rPr>
                <w:b/>
                <w:color w:val="FFFFFF"/>
                <w:sz w:val="20"/>
              </w:rPr>
              <w:t>Resultado</w:t>
            </w:r>
          </w:p>
        </w:tc>
        <w:tc>
          <w:tcPr>
            <w:tcW w:type="dxa" w:w="2353"/>
            <w:shd w:val="clear" w:color="auto" w:fill="0F5F6B"/>
          </w:tcPr>
          <w:p>
            <w:r/>
            <w:r>
              <w:rPr>
                <w:b/>
                <w:color w:val="FFFFFF"/>
                <w:sz w:val="20"/>
              </w:rPr>
              <w:t>Cautela</w:t>
            </w:r>
          </w:p>
        </w:tc>
      </w:tr>
      <w:tr>
        <w:tc>
          <w:tcPr>
            <w:tcW w:type="dxa" w:w="2353"/>
          </w:tcPr>
          <w:p>
            <w:r/>
            <w:r>
              <w:rPr>
                <w:sz w:val="20"/>
              </w:rPr>
              <w:t>Farouk, 1999</w:t>
            </w:r>
          </w:p>
        </w:tc>
        <w:tc>
          <w:tcPr>
            <w:tcW w:type="dxa" w:w="2353"/>
          </w:tcPr>
          <w:p>
            <w:r/>
            <w:r>
              <w:rPr>
                <w:sz w:val="20"/>
              </w:rPr>
              <w:t>Cadáver, 10 cadáveres frescos, un lado convencional y el otro MIPO [r3]</w:t>
            </w:r>
          </w:p>
        </w:tc>
        <w:tc>
          <w:tcPr>
            <w:tcW w:type="dxa" w:w="2353"/>
          </w:tcPr>
          <w:p>
            <w:r/>
            <w:r>
              <w:rPr>
                <w:sz w:val="20"/>
              </w:rPr>
              <w:t>MIPO conservó perforantes y nutricias; mejor perfusión perióstica en cada cadáver [r3]</w:t>
            </w:r>
          </w:p>
        </w:tc>
        <w:tc>
          <w:tcPr>
            <w:tcW w:type="dxa" w:w="2353"/>
          </w:tcPr>
          <w:p>
            <w:r/>
            <w:r>
              <w:rPr>
                <w:sz w:val="20"/>
              </w:rPr>
              <w:t>Perfusión en cadáver, no consolidación</w:t>
            </w:r>
          </w:p>
        </w:tc>
      </w:tr>
      <w:tr>
        <w:tc>
          <w:tcPr>
            <w:tcW w:type="dxa" w:w="2353"/>
            <w:shd w:val="clear" w:color="auto" w:fill="EEF3F4"/>
          </w:tcPr>
          <w:p>
            <w:r/>
            <w:r>
              <w:rPr>
                <w:sz w:val="20"/>
              </w:rPr>
              <w:t>Zlowodzki, 2007</w:t>
            </w:r>
          </w:p>
        </w:tc>
        <w:tc>
          <w:tcPr>
            <w:tcW w:type="dxa" w:w="2353"/>
            <w:shd w:val="clear" w:color="auto" w:fill="EEF3F4"/>
          </w:tcPr>
          <w:p>
            <w:r/>
            <w:r>
              <w:rPr>
                <w:sz w:val="20"/>
              </w:rPr>
              <w:t>Cohorte retrospectiva, 40 fracturas diafisarias: 19 con placa abierta y 21 con placa submuscular [r4]</w:t>
            </w:r>
          </w:p>
        </w:tc>
        <w:tc>
          <w:tcPr>
            <w:tcW w:type="dxa" w:w="2353"/>
            <w:shd w:val="clear" w:color="auto" w:fill="EEF3F4"/>
          </w:tcPr>
          <w:p>
            <w:r/>
            <w:r>
              <w:rPr>
                <w:sz w:val="20"/>
              </w:rPr>
              <w:t>0 malreducciones con placa abierta y 6 con submuscular; no unión 2,5 %, infección 5 % [r4]</w:t>
            </w:r>
          </w:p>
        </w:tc>
        <w:tc>
          <w:tcPr>
            <w:tcW w:type="dxa" w:w="2353"/>
            <w:shd w:val="clear" w:color="auto" w:fill="EEF3F4"/>
          </w:tcPr>
          <w:p>
            <w:r/>
            <w:r>
              <w:rPr>
                <w:sz w:val="20"/>
              </w:rPr>
              <w:t>Retrospectivo, nivel III de evidencia</w:t>
            </w:r>
          </w:p>
        </w:tc>
      </w:tr>
      <w:tr>
        <w:tc>
          <w:tcPr>
            <w:tcW w:type="dxa" w:w="2353"/>
          </w:tcPr>
          <w:p>
            <w:r/>
            <w:r>
              <w:rPr>
                <w:sz w:val="20"/>
              </w:rPr>
              <w:t>Lill, 2016</w:t>
            </w:r>
          </w:p>
        </w:tc>
        <w:tc>
          <w:tcPr>
            <w:tcW w:type="dxa" w:w="2353"/>
          </w:tcPr>
          <w:p>
            <w:r/>
            <w:r>
              <w:rPr>
                <w:sz w:val="20"/>
              </w:rPr>
              <w:t>Cohorte, fémur distal, 10 con MIPO y 10 con ORIF [r11]</w:t>
            </w:r>
          </w:p>
        </w:tc>
        <w:tc>
          <w:tcPr>
            <w:tcW w:type="dxa" w:w="2353"/>
          </w:tcPr>
          <w:p>
            <w:r/>
            <w:r>
              <w:rPr>
                <w:sz w:val="20"/>
              </w:rPr>
              <w:t>Diferencia media de rotación 14,3° con MIPO y 5,2° con ORIF [r11]</w:t>
            </w:r>
          </w:p>
        </w:tc>
        <w:tc>
          <w:tcPr>
            <w:tcW w:type="dxa" w:w="2353"/>
          </w:tcPr>
          <w:p>
            <w:r/>
            <w:r>
              <w:rPr>
                <w:sz w:val="20"/>
              </w:rPr>
              <w:t>Muestra de 20 pacientes</w:t>
            </w:r>
          </w:p>
        </w:tc>
      </w:tr>
      <w:tr>
        <w:tc>
          <w:tcPr>
            <w:tcW w:type="dxa" w:w="2353"/>
            <w:shd w:val="clear" w:color="auto" w:fill="EEF3F4"/>
          </w:tcPr>
          <w:p>
            <w:r/>
            <w:r>
              <w:rPr>
                <w:sz w:val="20"/>
              </w:rPr>
              <w:t>Kim, 2017</w:t>
            </w:r>
          </w:p>
        </w:tc>
        <w:tc>
          <w:tcPr>
            <w:tcW w:type="dxa" w:w="2353"/>
            <w:shd w:val="clear" w:color="auto" w:fill="EEF3F4"/>
          </w:tcPr>
          <w:p>
            <w:r/>
            <w:r>
              <w:rPr>
                <w:sz w:val="20"/>
              </w:rPr>
              <w:t>Serie, 51 pacientes con TC bilateral tras MIPO (38 de fémur distal y 13 de diáfisis) [r5]</w:t>
            </w:r>
          </w:p>
        </w:tc>
        <w:tc>
          <w:tcPr>
            <w:tcW w:type="dxa" w:w="2353"/>
            <w:shd w:val="clear" w:color="auto" w:fill="EEF3F4"/>
          </w:tcPr>
          <w:p>
            <w:r/>
            <w:r>
              <w:rPr>
                <w:sz w:val="20"/>
              </w:rPr>
              <w:t>Rotación satisfactoria en 56,9 %; alineación coronal 96,2 % y sagital 98 % [r5]</w:t>
            </w:r>
          </w:p>
        </w:tc>
        <w:tc>
          <w:tcPr>
            <w:tcW w:type="dxa" w:w="2353"/>
            <w:shd w:val="clear" w:color="auto" w:fill="EEF3F4"/>
          </w:tcPr>
          <w:p>
            <w:r/>
            <w:r>
              <w:rPr>
                <w:sz w:val="20"/>
              </w:rPr>
              <w:t>Sin grupo abierto de comparación</w:t>
            </w:r>
          </w:p>
        </w:tc>
      </w:tr>
      <w:tr>
        <w:tc>
          <w:tcPr>
            <w:tcW w:type="dxa" w:w="2353"/>
          </w:tcPr>
          <w:p>
            <w:r/>
            <w:r>
              <w:rPr>
                <w:sz w:val="20"/>
              </w:rPr>
              <w:t>Le Baron, 2024</w:t>
            </w:r>
          </w:p>
        </w:tc>
        <w:tc>
          <w:tcPr>
            <w:tcW w:type="dxa" w:w="2353"/>
          </w:tcPr>
          <w:p>
            <w:r/>
            <w:r>
              <w:rPr>
                <w:sz w:val="20"/>
              </w:rPr>
              <w:t>Cohorte, 306 fracturas periprotésicas de fémur sobre prótesis de rodilla con placa bloqueada, 228 por vía estándar y 78 mínimamente invasiva [r37]</w:t>
            </w:r>
          </w:p>
        </w:tc>
        <w:tc>
          <w:tcPr>
            <w:tcW w:type="dxa" w:w="2353"/>
          </w:tcPr>
          <w:p>
            <w:r/>
            <w:r>
              <w:rPr>
                <w:sz w:val="20"/>
              </w:rPr>
              <w:t>No unión 1,7 % con vía mínimamente invasiva y 11,1 % con estándar [r37]</w:t>
            </w:r>
          </w:p>
        </w:tc>
        <w:tc>
          <w:tcPr>
            <w:tcW w:type="dxa" w:w="2353"/>
          </w:tcPr>
          <w:p>
            <w:r/>
            <w:r>
              <w:rPr>
                <w:sz w:val="20"/>
              </w:rPr>
              <w:t>Retrospectivo y prospectivo mezclados; grupos no aleatorizados</w:t>
            </w:r>
          </w:p>
        </w:tc>
      </w:tr>
      <w:tr>
        <w:tc>
          <w:tcPr>
            <w:tcW w:type="dxa" w:w="2353"/>
            <w:shd w:val="clear" w:color="auto" w:fill="EEF3F4"/>
          </w:tcPr>
          <w:p>
            <w:r/>
            <w:r>
              <w:rPr>
                <w:sz w:val="20"/>
              </w:rPr>
              <w:t>Wang, 2019</w:t>
            </w:r>
          </w:p>
        </w:tc>
        <w:tc>
          <w:tcPr>
            <w:tcW w:type="dxa" w:w="2353"/>
            <w:shd w:val="clear" w:color="auto" w:fill="EEF3F4"/>
          </w:tcPr>
          <w:p>
            <w:r/>
            <w:r>
              <w:rPr>
                <w:sz w:val="20"/>
              </w:rPr>
              <w:t>Revisión sistemática, 8 estudios y 1380 fracturas de fémur distal [r28]</w:t>
            </w:r>
          </w:p>
        </w:tc>
        <w:tc>
          <w:tcPr>
            <w:tcW w:type="dxa" w:w="2353"/>
            <w:shd w:val="clear" w:color="auto" w:fill="EEF3F4"/>
          </w:tcPr>
          <w:p>
            <w:r/>
            <w:r>
              <w:rPr>
                <w:sz w:val="20"/>
              </w:rPr>
              <w:t>La reducción abierta frente a MIPO figura entre los factores asociados a no unión [r28]</w:t>
            </w:r>
          </w:p>
        </w:tc>
        <w:tc>
          <w:tcPr>
            <w:tcW w:type="dxa" w:w="2353"/>
            <w:shd w:val="clear" w:color="auto" w:fill="EEF3F4"/>
          </w:tcPr>
          <w:p>
            <w:r/>
            <w:r>
              <w:rPr>
                <w:sz w:val="20"/>
              </w:rPr>
              <w:t>Heterogeneidad entre estudios</w:t>
            </w:r>
          </w:p>
        </w:tc>
      </w:tr>
    </w:tbl>
    <w:p/>
    <w:p>
      <w:pPr>
        <w:keepNext/>
      </w:pPr>
      <w:r>
        <w:rPr>
          <w:b/>
          <w:color w:val="0F5F6B"/>
          <w:sz w:val="20"/>
        </w:rPr>
        <w:t>Tabla 6. Placa frente a clavo en la diáfisis del fémur</w:t>
      </w:r>
      <w:r>
        <w:rPr>
          <w:color w:val="5A6469"/>
          <w:sz w:val="18"/>
        </w:rPr>
        <w:t xml:space="preserve">  [r41] [r43] [r32] [r24]</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Estudio</w:t>
            </w:r>
          </w:p>
        </w:tc>
        <w:tc>
          <w:tcPr>
            <w:tcW w:type="dxa" w:w="2353"/>
            <w:shd w:val="clear" w:color="auto" w:fill="0F5F6B"/>
          </w:tcPr>
          <w:p>
            <w:r/>
            <w:r>
              <w:rPr>
                <w:b/>
                <w:color w:val="FFFFFF"/>
                <w:sz w:val="20"/>
              </w:rPr>
              <w:t>Diseño y población</w:t>
            </w:r>
          </w:p>
        </w:tc>
        <w:tc>
          <w:tcPr>
            <w:tcW w:type="dxa" w:w="2353"/>
            <w:shd w:val="clear" w:color="auto" w:fill="0F5F6B"/>
          </w:tcPr>
          <w:p>
            <w:r/>
            <w:r>
              <w:rPr>
                <w:b/>
                <w:color w:val="FFFFFF"/>
                <w:sz w:val="20"/>
              </w:rPr>
              <w:t>Resultado</w:t>
            </w:r>
          </w:p>
        </w:tc>
        <w:tc>
          <w:tcPr>
            <w:tcW w:type="dxa" w:w="2353"/>
            <w:shd w:val="clear" w:color="auto" w:fill="0F5F6B"/>
          </w:tcPr>
          <w:p>
            <w:r/>
            <w:r>
              <w:rPr>
                <w:b/>
                <w:color w:val="FFFFFF"/>
                <w:sz w:val="20"/>
              </w:rPr>
              <w:t>Cautela</w:t>
            </w:r>
          </w:p>
        </w:tc>
      </w:tr>
      <w:tr>
        <w:tc>
          <w:tcPr>
            <w:tcW w:type="dxa" w:w="2353"/>
          </w:tcPr>
          <w:p>
            <w:r/>
            <w:r>
              <w:rPr>
                <w:sz w:val="20"/>
              </w:rPr>
              <w:t>Ni, 2024</w:t>
            </w:r>
          </w:p>
        </w:tc>
        <w:tc>
          <w:tcPr>
            <w:tcW w:type="dxa" w:w="2353"/>
          </w:tcPr>
          <w:p>
            <w:r/>
            <w:r>
              <w:rPr>
                <w:sz w:val="20"/>
              </w:rPr>
              <w:t>Metaanálisis, 13 estudios y 1061 pacientes [r41]</w:t>
            </w:r>
          </w:p>
        </w:tc>
        <w:tc>
          <w:tcPr>
            <w:tcW w:type="dxa" w:w="2353"/>
          </w:tcPr>
          <w:p>
            <w:r/>
            <w:r>
              <w:rPr>
                <w:sz w:val="20"/>
              </w:rPr>
              <w:t>Clavo con menos tiempo operatorio, de fluoroscopia y sangrado [r41]</w:t>
            </w:r>
          </w:p>
        </w:tc>
        <w:tc>
          <w:tcPr>
            <w:tcW w:type="dxa" w:w="2353"/>
          </w:tcPr>
          <w:p>
            <w:r/>
            <w:r>
              <w:rPr>
                <w:sz w:val="20"/>
              </w:rPr>
              <w:t>Mezcla de diseños, incluye pediátricos</w:t>
            </w:r>
          </w:p>
        </w:tc>
      </w:tr>
      <w:tr>
        <w:tc>
          <w:tcPr>
            <w:tcW w:type="dxa" w:w="2353"/>
            <w:shd w:val="clear" w:color="auto" w:fill="EEF3F4"/>
          </w:tcPr>
          <w:p>
            <w:r/>
            <w:r>
              <w:rPr>
                <w:sz w:val="20"/>
              </w:rPr>
              <w:t>Ekwunife, 2022</w:t>
            </w:r>
          </w:p>
        </w:tc>
        <w:tc>
          <w:tcPr>
            <w:tcW w:type="dxa" w:w="2353"/>
            <w:shd w:val="clear" w:color="auto" w:fill="EEF3F4"/>
          </w:tcPr>
          <w:p>
            <w:r/>
            <w:r>
              <w:rPr>
                <w:sz w:val="20"/>
              </w:rPr>
              <w:t>Ensayo con asignación por sorteo, 52 fracturas en 50 pacientes [r43]</w:t>
            </w:r>
          </w:p>
        </w:tc>
        <w:tc>
          <w:tcPr>
            <w:tcW w:type="dxa" w:w="2353"/>
            <w:shd w:val="clear" w:color="auto" w:fill="EEF3F4"/>
          </w:tcPr>
          <w:p>
            <w:r/>
            <w:r>
              <w:rPr>
                <w:sz w:val="20"/>
              </w:rPr>
              <w:t>Consolidación en todos los clavos a las 12 semanas y en 84,6 % de las placas entre 12 y 18 semanas [r43]</w:t>
            </w:r>
          </w:p>
        </w:tc>
        <w:tc>
          <w:tcPr>
            <w:tcW w:type="dxa" w:w="2353"/>
            <w:shd w:val="clear" w:color="auto" w:fill="EEF3F4"/>
          </w:tcPr>
          <w:p>
            <w:r/>
            <w:r>
              <w:rPr>
                <w:sz w:val="20"/>
              </w:rPr>
              <w:t>Muestra pequeña, un solo hospital</w:t>
            </w:r>
          </w:p>
        </w:tc>
      </w:tr>
      <w:tr>
        <w:tc>
          <w:tcPr>
            <w:tcW w:type="dxa" w:w="2353"/>
          </w:tcPr>
          <w:p>
            <w:r/>
            <w:r>
              <w:rPr>
                <w:sz w:val="20"/>
              </w:rPr>
              <w:t>Papakostidis, 2006</w:t>
            </w:r>
          </w:p>
        </w:tc>
        <w:tc>
          <w:tcPr>
            <w:tcW w:type="dxa" w:w="2353"/>
          </w:tcPr>
          <w:p>
            <w:r/>
            <w:r>
              <w:rPr>
                <w:sz w:val="20"/>
              </w:rPr>
              <w:t>Revisión sistemática de placa biológica, 19 estudios y 687 pacientes [r32]</w:t>
            </w:r>
          </w:p>
        </w:tc>
        <w:tc>
          <w:tcPr>
            <w:tcW w:type="dxa" w:w="2353"/>
          </w:tcPr>
          <w:p>
            <w:r/>
            <w:r>
              <w:rPr>
                <w:sz w:val="20"/>
              </w:rPr>
              <w:t>Consolidación global de 98,4 %; infección de 2 % [r32]</w:t>
            </w:r>
          </w:p>
        </w:tc>
        <w:tc>
          <w:tcPr>
            <w:tcW w:type="dxa" w:w="2353"/>
          </w:tcPr>
          <w:p>
            <w:r/>
            <w:r>
              <w:rPr>
                <w:sz w:val="20"/>
              </w:rPr>
              <w:t>Sin grupo clavo; solo 29 % eran diafisarias; nivel III</w:t>
            </w:r>
          </w:p>
        </w:tc>
      </w:tr>
      <w:tr>
        <w:tc>
          <w:tcPr>
            <w:tcW w:type="dxa" w:w="2353"/>
            <w:shd w:val="clear" w:color="auto" w:fill="EEF3F4"/>
          </w:tcPr>
          <w:p>
            <w:r/>
            <w:r>
              <w:rPr>
                <w:sz w:val="20"/>
              </w:rPr>
              <w:t>Koso, 2018</w:t>
            </w:r>
          </w:p>
        </w:tc>
        <w:tc>
          <w:tcPr>
            <w:tcW w:type="dxa" w:w="2353"/>
            <w:shd w:val="clear" w:color="auto" w:fill="EEF3F4"/>
          </w:tcPr>
          <w:p>
            <w:r/>
            <w:r>
              <w:rPr>
                <w:sz w:val="20"/>
              </w:rPr>
              <w:t>Metaanálisis, 38 estudios con 2829 fracturas de diáfisis [r24]</w:t>
            </w:r>
          </w:p>
        </w:tc>
        <w:tc>
          <w:tcPr>
            <w:tcW w:type="dxa" w:w="2353"/>
            <w:shd w:val="clear" w:color="auto" w:fill="EEF3F4"/>
          </w:tcPr>
          <w:p>
            <w:r/>
            <w:r>
              <w:rPr>
                <w:sz w:val="20"/>
              </w:rPr>
              <w:t>No unión de 2,8 % global; 6,6 % con clavo sin fresado y 2,1 % con fresado [r24]</w:t>
            </w:r>
          </w:p>
        </w:tc>
        <w:tc>
          <w:tcPr>
            <w:tcW w:type="dxa" w:w="2353"/>
            <w:shd w:val="clear" w:color="auto" w:fill="EEF3F4"/>
          </w:tcPr>
          <w:p>
            <w:r/>
            <w:r>
              <w:rPr>
                <w:sz w:val="20"/>
              </w:rPr>
              <w:t>Incluye estudios con más de 20 fracturas y diseños variados</w:t>
            </w:r>
          </w:p>
        </w:tc>
      </w:tr>
    </w:tbl>
    <w:p/>
    <w:p>
      <w:pPr>
        <w:keepNext/>
      </w:pPr>
      <w:r>
        <w:rPr>
          <w:b/>
          <w:color w:val="0F5F6B"/>
          <w:sz w:val="20"/>
        </w:rPr>
        <w:t>Figura 3. Clavo cefalomedular frente a implante extramedular en fracturas extracapsulares: riesgo relativo (Cochrane 2022)</w:t>
      </w:r>
      <w:r>
        <w:rPr>
          <w:color w:val="5A6469"/>
          <w:sz w:val="18"/>
        </w:rPr>
        <w:t xml:space="preserve">  [r12]</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53"/>
                    <a:stretch>
                      <a:fillRect/>
                    </a:stretch>
                  </pic:blipFill>
                  <pic:spPr>
                    <a:xfrm>
                      <a:off x="0" y="0"/>
                      <a:ext cx="5669280" cy="3188970"/>
                    </a:xfrm>
                    <a:prstGeom prst="rect"/>
                  </pic:spPr>
                </pic:pic>
              </a:graphicData>
            </a:graphic>
          </wp:inline>
        </w:drawing>
      </w:r>
    </w:p>
    <w:p>
      <w:pPr>
        <w:keepNext/>
      </w:pPr>
      <w:r>
        <w:rPr>
          <w:b/>
          <w:color w:val="0F5F6B"/>
          <w:sz w:val="20"/>
        </w:rPr>
        <w:t>Figura 4. Oblicuidad inversa: fijaciones que fallaron según el implante (47 caderas con fijación interna)</w:t>
      </w:r>
      <w:r>
        <w:rPr>
          <w:color w:val="5A6469"/>
          <w:sz w:val="18"/>
        </w:rPr>
        <w:t xml:space="preserve">  [r23]</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5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 </w:t>
      </w:r>
      <w:r>
        <w:rPr>
          <w:sz w:val="18"/>
        </w:rPr>
        <w:t xml:space="preserve">Farouk O, Krettek C, Miclau T, Schandelmaier P, Guy P, Tscherne H. Minimally invasive plate osteosynthesis: does percutaneous plating disrupt femoral blood supply less than the traditional technique? J Orthop Trauma 1999;13(6):401-6. doi:10.1097/00005131-199908000-00002 </w:t>
      </w:r>
      <w:r>
        <w:rPr>
          <w:i/>
          <w:color w:val="5A6469"/>
          <w:sz w:val="17"/>
        </w:rPr>
        <w:t xml:space="preserve">(serie · acceso resumen) </w:t>
      </w:r>
      <w:hyperlink r:id="rId25">
        <w:r>
          <w:rPr>
            <w:color w:val="0563C1"/>
            <w:u w:val="single"/>
            <w:sz w:val="18"/>
          </w:rPr>
          <w:t xml:space="preserve">https://doi.org/10.1097/00005131-199908000-00002</w:t>
        </w:r>
      </w:hyperlink>
    </w:p>
    <w:p>
      <w:pPr>
        <w:spacing w:after="60"/>
        <w:ind w:left="510" w:hanging="510"/>
      </w:pPr>
      <w:r>
        <w:rPr>
          <w:b/>
          <w:sz w:val="18"/>
        </w:rPr>
        <w:t xml:space="preserve">[r4] </w:t>
      </w:r>
      <w:r>
        <w:rPr>
          <w:sz w:val="18"/>
        </w:rPr>
        <w:t xml:space="preserve">Zlowodzki M, Vogt D, Cole PA, Kregor PJ. Plating of femoral shaft fractures: open reduction and internal fixation versus submuscular fixation. J Trauma 2007;63(5):1061-5. doi:10.1097/TA.0b013e318154c0b4 </w:t>
      </w:r>
      <w:r>
        <w:rPr>
          <w:i/>
          <w:color w:val="5A6469"/>
          <w:sz w:val="17"/>
        </w:rPr>
        <w:t xml:space="preserve">(cohorte · acceso resumen) </w:t>
      </w:r>
      <w:hyperlink r:id="rId26">
        <w:r>
          <w:rPr>
            <w:color w:val="0563C1"/>
            <w:u w:val="single"/>
            <w:sz w:val="18"/>
          </w:rPr>
          <w:t xml:space="preserve">https://doi.org/10.1097/TA.0b013e318154c0b4</w:t>
        </w:r>
      </w:hyperlink>
    </w:p>
    <w:p>
      <w:pPr>
        <w:spacing w:after="60"/>
        <w:ind w:left="510" w:hanging="510"/>
      </w:pPr>
      <w:r>
        <w:rPr>
          <w:b/>
          <w:sz w:val="18"/>
        </w:rPr>
        <w:t xml:space="preserve">[r5] </w:t>
      </w:r>
      <w:r>
        <w:rPr>
          <w:sz w:val="18"/>
        </w:rPr>
        <w:t xml:space="preserve">Kim JW, Oh CW, Oh JK, Park IH, Kyung HS, Park KH, et al. Malalignment after minimally invasive plate osteosynthesis in distal femoral fractures. Injury 2017;48(3):751-757. doi:10.1016/j.injury.2017.01.019 </w:t>
      </w:r>
      <w:r>
        <w:rPr>
          <w:i/>
          <w:color w:val="5A6469"/>
          <w:sz w:val="17"/>
        </w:rPr>
        <w:t xml:space="preserve">(serie · acceso resumen) </w:t>
      </w:r>
      <w:hyperlink r:id="rId29">
        <w:r>
          <w:rPr>
            <w:color w:val="0563C1"/>
            <w:u w:val="single"/>
            <w:sz w:val="18"/>
          </w:rPr>
          <w:t xml:space="preserve">https://doi.org/10.1016/j.injury.2017.01.019</w:t>
        </w:r>
      </w:hyperlink>
    </w:p>
    <w:p>
      <w:pPr>
        <w:spacing w:after="60"/>
        <w:ind w:left="510" w:hanging="510"/>
      </w:pPr>
      <w:r>
        <w:rPr>
          <w:b/>
          <w:sz w:val="18"/>
        </w:rPr>
        <w:t xml:space="preserve">[r8] </w:t>
      </w:r>
      <w:r>
        <w:rPr>
          <w:sz w:val="18"/>
        </w:rPr>
        <w:t xml:space="preserve">Denisiuk M, Afsari A. Femoral Shaft Fractures. En: StatPearls [Internet]. Treasure Island (FL): StatPearls Publishing; 2023 ene [consultado 2026 oct 12]. Disponible en: https://www.ncbi.nlm.nih.gov/books/NBK556057/ </w:t>
      </w:r>
      <w:r>
        <w:rPr>
          <w:i/>
          <w:color w:val="5A6469"/>
          <w:sz w:val="17"/>
        </w:rPr>
        <w:t xml:space="preserve">(libro-abierto · acceso abierto) </w:t>
      </w:r>
      <w:hyperlink r:id="rId18">
        <w:r>
          <w:rPr>
            <w:color w:val="0563C1"/>
            <w:u w:val="single"/>
            <w:sz w:val="18"/>
          </w:rPr>
          <w:t xml:space="preserve">https://www.ncbi.nlm.nih.gov/books/NBK556057/</w:t>
        </w:r>
      </w:hyperlink>
    </w:p>
    <w:p>
      <w:pPr>
        <w:spacing w:after="60"/>
        <w:ind w:left="510" w:hanging="510"/>
      </w:pPr>
      <w:r>
        <w:rPr>
          <w:b/>
          <w:sz w:val="18"/>
        </w:rPr>
        <w:t xml:space="preserve">[r11] </w:t>
      </w:r>
      <w:r>
        <w:rPr>
          <w:sz w:val="18"/>
        </w:rPr>
        <w:t xml:space="preserve">Lill M, Attal R, Rudisch A, Wick MC, Blauth M, Lutz M. Does MIPO of fractures of the distal femur result in more rotational malalignment than ORIF? A retrospective study. Eur J Trauma Emerg Surg 2016;42(6):733-740. doi:10.1007/s00068-015-0595-8 </w:t>
      </w:r>
      <w:r>
        <w:rPr>
          <w:i/>
          <w:color w:val="5A6469"/>
          <w:sz w:val="17"/>
        </w:rPr>
        <w:t xml:space="preserve">(cohorte · acceso resumen) </w:t>
      </w:r>
      <w:hyperlink r:id="rId48">
        <w:r>
          <w:rPr>
            <w:color w:val="0563C1"/>
            <w:u w:val="single"/>
            <w:sz w:val="18"/>
          </w:rPr>
          <w:t xml:space="preserve">https://doi.org/10.1007/s00068-015-0595-8</w:t>
        </w:r>
      </w:hyperlink>
    </w:p>
    <w:p>
      <w:pPr>
        <w:spacing w:after="60"/>
        <w:ind w:left="510" w:hanging="510"/>
      </w:pPr>
      <w:r>
        <w:rPr>
          <w:b/>
          <w:sz w:val="18"/>
        </w:rPr>
        <w:t xml:space="preserve">[r12] </w:t>
      </w:r>
      <w:r>
        <w:rPr>
          <w:sz w:val="18"/>
        </w:rPr>
        <w:t xml:space="preserve">Lewis SR, Macey R, Gill JR, Parker MJ, Griffin XL. Cephalomedullary nails versus extramedullary implants for extracapsular hip fractures in older adults. Cochrane Database Syst Rev 2022;1:CD000093. doi:10.1002/14651858.CD000093.pub6 </w:t>
      </w:r>
      <w:r>
        <w:rPr>
          <w:i/>
          <w:color w:val="5A6469"/>
          <w:sz w:val="17"/>
        </w:rPr>
        <w:t xml:space="preserve">(RS-MA · acceso abierto) </w:t>
      </w:r>
      <w:hyperlink r:id="rId33">
        <w:r>
          <w:rPr>
            <w:color w:val="0563C1"/>
            <w:u w:val="single"/>
            <w:sz w:val="18"/>
          </w:rPr>
          <w:t xml:space="preserve">https://doi.org/10.1002/14651858.CD000093.pub6</w:t>
        </w:r>
      </w:hyperlink>
    </w:p>
    <w:p>
      <w:pPr>
        <w:spacing w:after="60"/>
        <w:ind w:left="510" w:hanging="510"/>
      </w:pPr>
      <w:r>
        <w:rPr>
          <w:b/>
          <w:sz w:val="18"/>
        </w:rPr>
        <w:t xml:space="preserve">[r13] </w:t>
      </w:r>
      <w:r>
        <w:rPr>
          <w:sz w:val="18"/>
        </w:rPr>
        <w:t xml:space="preserve">Apivatthakakul T, Chiewcharntanakit S. Minimally invasive plate osteosynthesis (MIPO) in the treatment of the femoral shaft fracture where intramedullary nailing is not indicated. Int Orthop 2009;33(4):1119-26. doi:10.1007/s00264-008-0603-2 </w:t>
      </w:r>
      <w:r>
        <w:rPr>
          <w:i/>
          <w:color w:val="5A6469"/>
          <w:sz w:val="17"/>
        </w:rPr>
        <w:t xml:space="preserve">(serie · acceso resumen) </w:t>
      </w:r>
      <w:hyperlink r:id="rId34">
        <w:r>
          <w:rPr>
            <w:color w:val="0563C1"/>
            <w:u w:val="single"/>
            <w:sz w:val="18"/>
          </w:rPr>
          <w:t xml:space="preserve">https://doi.org/10.1007/s00264-008-0603-2</w:t>
        </w:r>
      </w:hyperlink>
    </w:p>
    <w:p>
      <w:pPr>
        <w:spacing w:after="60"/>
        <w:ind w:left="510" w:hanging="510"/>
      </w:pPr>
      <w:r>
        <w:rPr>
          <w:b/>
          <w:sz w:val="18"/>
        </w:rPr>
        <w:t xml:space="preserve">[r23] </w:t>
      </w:r>
      <w:r>
        <w:rPr>
          <w:sz w:val="18"/>
        </w:rPr>
        <w:t xml:space="preserve">Haidukewych GJ, Israel TA, Berry DJ. Reverse obliquity fractures of the intertrochanteric region of the femur. J Bone Joint Surg Am 2001;83(5):643-50. doi:10.2106/00004623-200105000-00001 </w:t>
      </w:r>
      <w:r>
        <w:rPr>
          <w:i/>
          <w:color w:val="5A6469"/>
          <w:sz w:val="17"/>
        </w:rPr>
        <w:t xml:space="preserve">(serie · acceso resumen) </w:t>
      </w:r>
      <w:hyperlink r:id="rId35">
        <w:r>
          <w:rPr>
            <w:color w:val="0563C1"/>
            <w:u w:val="single"/>
            <w:sz w:val="18"/>
          </w:rPr>
          <w:t xml:space="preserve">https://doi.org/10.2106/00004623-200105000-00001</w:t>
        </w:r>
      </w:hyperlink>
    </w:p>
    <w:p>
      <w:pPr>
        <w:spacing w:after="60"/>
        <w:ind w:left="510" w:hanging="510"/>
      </w:pPr>
      <w:r>
        <w:rPr>
          <w:b/>
          <w:sz w:val="18"/>
        </w:rPr>
        <w:t xml:space="preserve">[r24] </w:t>
      </w:r>
      <w:r>
        <w:rPr>
          <w:sz w:val="18"/>
        </w:rPr>
        <w:t xml:space="preserve">Koso RE, Terhoeve C, Steen RG, Zura R. Healing, nonunion, and re-operation after internal fixation of diaphyseal and distal femoral fractures: a systematic review and meta-analysis. Int Orthop 2018;42(11):2675-2683. doi:10.1007/s00264-018-3864-4 </w:t>
      </w:r>
      <w:r>
        <w:rPr>
          <w:i/>
          <w:color w:val="5A6469"/>
          <w:sz w:val="17"/>
        </w:rPr>
        <w:t xml:space="preserve">(RS-MA · acceso resumen) </w:t>
      </w:r>
      <w:hyperlink r:id="rId36">
        <w:r>
          <w:rPr>
            <w:color w:val="0563C1"/>
            <w:u w:val="single"/>
            <w:sz w:val="18"/>
          </w:rPr>
          <w:t xml:space="preserve">https://doi.org/10.1007/s00264-018-3864-4</w:t>
        </w:r>
      </w:hyperlink>
    </w:p>
    <w:p>
      <w:pPr>
        <w:spacing w:after="60"/>
        <w:ind w:left="510" w:hanging="510"/>
      </w:pPr>
      <w:r>
        <w:rPr>
          <w:b/>
          <w:sz w:val="18"/>
        </w:rPr>
        <w:t xml:space="preserve">[r28] </w:t>
      </w:r>
      <w:r>
        <w:rPr>
          <w:sz w:val="18"/>
        </w:rPr>
        <w:t xml:space="preserve">Wang MT, An VVG, Sivakumar BS. Non-union in lateral locked plating for distal femoral fractures: A systematic review. Injury 2019;50(11):1790-1794. doi:10.1016/j.injury.2019.07.012 </w:t>
      </w:r>
      <w:r>
        <w:rPr>
          <w:i/>
          <w:color w:val="5A6469"/>
          <w:sz w:val="17"/>
        </w:rPr>
        <w:t xml:space="preserve">(RS-MA · acceso resumen) </w:t>
      </w:r>
      <w:hyperlink r:id="rId28">
        <w:r>
          <w:rPr>
            <w:color w:val="0563C1"/>
            <w:u w:val="single"/>
            <w:sz w:val="18"/>
          </w:rPr>
          <w:t xml:space="preserve">https://doi.org/10.1016/j.injury.2019.07.012</w:t>
        </w:r>
      </w:hyperlink>
    </w:p>
    <w:p>
      <w:pPr>
        <w:spacing w:after="60"/>
        <w:ind w:left="510" w:hanging="510"/>
      </w:pPr>
      <w:r>
        <w:rPr>
          <w:b/>
          <w:sz w:val="18"/>
        </w:rPr>
        <w:t xml:space="preserve">[r32] </w:t>
      </w:r>
      <w:r>
        <w:rPr>
          <w:sz w:val="18"/>
        </w:rPr>
        <w:t xml:space="preserve">Papakostidis C, Grotz MR, Papadokostakis G, Dimitriou R, Giannoudis PV. Femoral biologic plate fixation. Clin Orthop Relat Res 2006;450:193-202. doi:10.1097/01.blo.0000218760.19934.2b </w:t>
      </w:r>
      <w:r>
        <w:rPr>
          <w:i/>
          <w:color w:val="5A6469"/>
          <w:sz w:val="17"/>
        </w:rPr>
        <w:t xml:space="preserve">(RS-MA · acceso resumen) </w:t>
      </w:r>
      <w:hyperlink r:id="rId39">
        <w:r>
          <w:rPr>
            <w:color w:val="0563C1"/>
            <w:u w:val="single"/>
            <w:sz w:val="18"/>
          </w:rPr>
          <w:t xml:space="preserve">https://doi.org/10.1097/01.blo.0000218760.19934.2b</w:t>
        </w:r>
      </w:hyperlink>
    </w:p>
    <w:p>
      <w:pPr>
        <w:spacing w:after="60"/>
        <w:ind w:left="510" w:hanging="510"/>
      </w:pPr>
      <w:r>
        <w:rPr>
          <w:b/>
          <w:sz w:val="18"/>
        </w:rPr>
        <w:t xml:space="preserve">[r37] </w:t>
      </w:r>
      <w:r>
        <w:rPr>
          <w:sz w:val="18"/>
        </w:rPr>
        <w:t xml:space="preserve">Le Baron M, Battut T, Bégué T, Ehlinger M, Flecher X, SOFCOT. Minimally invasive surgery of femoral periprosthetic fractures increases the rate of consolidation and decreases time to bone healing without a higher rate of complications. Orthop Traumatol Surg Res 2024;110(7):103866. doi:10.1016/j.otsr.2024.103866 </w:t>
      </w:r>
      <w:r>
        <w:rPr>
          <w:i/>
          <w:color w:val="5A6469"/>
          <w:sz w:val="17"/>
        </w:rPr>
        <w:t xml:space="preserve">(cohorte · acceso resumen) </w:t>
      </w:r>
      <w:hyperlink r:id="rId44">
        <w:r>
          <w:rPr>
            <w:color w:val="0563C1"/>
            <w:u w:val="single"/>
            <w:sz w:val="18"/>
          </w:rPr>
          <w:t xml:space="preserve">https://doi.org/10.1016/j.otsr.2024.103866</w:t>
        </w:r>
      </w:hyperlink>
    </w:p>
    <w:p>
      <w:pPr>
        <w:spacing w:after="60"/>
        <w:ind w:left="510" w:hanging="510"/>
      </w:pPr>
      <w:r>
        <w:rPr>
          <w:b/>
          <w:sz w:val="18"/>
        </w:rPr>
        <w:t xml:space="preserve">[r41] </w:t>
      </w:r>
      <w:r>
        <w:rPr>
          <w:sz w:val="18"/>
        </w:rPr>
        <w:t xml:space="preserve">Ni Y, Zhang Y, Ren J. Comparative Efficacy of Interlocking Intramedullary Nails and Percutaneous Plate Implantation in the Treatment of Femoral Shaft Fractures: A Meta-Analysis. Ann Ital Chir 2024;95(5):744-759. doi:10.62713/aic.3577 </w:t>
      </w:r>
      <w:r>
        <w:rPr>
          <w:i/>
          <w:color w:val="5A6469"/>
          <w:sz w:val="17"/>
        </w:rPr>
        <w:t xml:space="preserve">(RS-MA · acceso resumen) </w:t>
      </w:r>
      <w:hyperlink r:id="rId55">
        <w:r>
          <w:rPr>
            <w:color w:val="0563C1"/>
            <w:u w:val="single"/>
            <w:sz w:val="18"/>
          </w:rPr>
          <w:t xml:space="preserve">https://doi.org/10.62713/aic.3577</w:t>
        </w:r>
      </w:hyperlink>
    </w:p>
    <w:p>
      <w:pPr>
        <w:spacing w:after="60"/>
        <w:ind w:left="510" w:hanging="510"/>
      </w:pPr>
      <w:r>
        <w:rPr>
          <w:b/>
          <w:sz w:val="18"/>
        </w:rPr>
        <w:t xml:space="preserve">[r42] </w:t>
      </w:r>
      <w:r>
        <w:rPr>
          <w:sz w:val="18"/>
        </w:rPr>
        <w:t xml:space="preserve">Wessels JO, Bjarnesen MP, Erichsen JL, Palm H, Gundtoft PH, Viberg B. Sliding hip screw vs intramedullary nail for AO/OTA31A1-A3: a systematic review and meta-analysis. Injury 2022;53(3):1149-1159. doi:10.1016/j.injury.2021.12.034 </w:t>
      </w:r>
      <w:r>
        <w:rPr>
          <w:i/>
          <w:color w:val="5A6469"/>
          <w:sz w:val="17"/>
        </w:rPr>
        <w:t xml:space="preserve">(RS-MA · acceso resumen) </w:t>
      </w:r>
      <w:hyperlink r:id="rId56">
        <w:r>
          <w:rPr>
            <w:color w:val="0563C1"/>
            <w:u w:val="single"/>
            <w:sz w:val="18"/>
          </w:rPr>
          <w:t xml:space="preserve">https://doi.org/10.1016/j.injury.2021.12.034</w:t>
        </w:r>
      </w:hyperlink>
    </w:p>
    <w:p>
      <w:pPr>
        <w:spacing w:after="60"/>
        <w:ind w:left="510" w:hanging="510"/>
      </w:pPr>
      <w:r>
        <w:rPr>
          <w:b/>
          <w:sz w:val="18"/>
        </w:rPr>
        <w:t xml:space="preserve">[r43] </w:t>
      </w:r>
      <w:r>
        <w:rPr>
          <w:sz w:val="18"/>
        </w:rPr>
        <w:t xml:space="preserve">Ekwunife RT, Iyidobi EC, Enweani UN, Nwadinigwe CU, Okwesili CI, Ekwedigwe HC, et al. Comparative prospective study of early outcomes after osteosynthesis with locked intramedullary nailing or plating for closed femoral shaft fractures at the National Orthopaedic Hospital Enugu, Nigeria. Int Orthop 2022;46(1):13-19. doi:10.1007/s00264-020-04746-z </w:t>
      </w:r>
      <w:r>
        <w:rPr>
          <w:i/>
          <w:color w:val="5A6469"/>
          <w:sz w:val="17"/>
        </w:rPr>
        <w:t xml:space="preserve">(ECA · acceso resumen) </w:t>
      </w:r>
      <w:hyperlink r:id="rId57">
        <w:r>
          <w:rPr>
            <w:color w:val="0563C1"/>
            <w:u w:val="single"/>
            <w:sz w:val="18"/>
          </w:rPr>
          <w:t xml:space="preserve">https://doi.org/10.1007/s00264-020-04746-z</w:t>
        </w:r>
      </w:hyperlink>
    </w:p>
    <w:p>
      <w:pPr>
        <w:pStyle w:val="Heading1"/>
      </w:pPr>
      <w:r>
        <w:t>Complicaciones</w:t>
      </w:r>
    </w:p>
    <w:p>
      <w:r>
        <w:rPr/>
        <w:t>Cada complicación tiene un momento y una causa evitable. Mira cuáles dependen de la ventana y cuáles del implante.</w:t>
      </w:r>
    </w:p>
    <w:p>
      <w:pPr>
        <w:pStyle w:val="ListBullet"/>
      </w:pPr>
      <w:r>
        <w:rPr>
          <w:b/>
        </w:rPr>
        <w:t>Sangrado y lesión vascular.</w:t>
      </w:r>
      <w:r>
        <w:rPr/>
        <w:t xml:space="preserve"> Las perforantes desgarradas cerca del tabique pueden sangrar de forma oculta [r1]. Se han descrito hematoma masivo y pseudoaneurisma por presión de Hohmann o por taladrado a través de la placa, en 2 pacientes con tornillo deslizante y tornillo condíleo [r21].</w:t>
      </w:r>
    </w:p>
    <w:p>
      <w:pPr>
        <w:pStyle w:val="ListBullet"/>
      </w:pPr>
      <w:r>
        <w:rPr>
          <w:b/>
        </w:rPr>
        <w:t>Infección.</w:t>
      </w:r>
      <w:r>
        <w:rPr/>
        <w:t xml:space="preserve"> En 1709 pacientes con fractura de cadera (825 con tornillo deslizante), la infección profunda temprana fue 2,2 % (38 pacientes) y la mortalidad a 90 días fue 42 % frente a 14 % sin ella [r44]. Con placa biológica en el fémur (todas las regiones), la infección fue 2 % en una revisión de 19 estudios [r32]; en una serie de 40 fracturas diafisarias con placa fue 5 % (2 de 40, ambas abiertas tipo III) [r4].</w:t>
      </w:r>
    </w:p>
    <w:p>
      <w:pPr>
        <w:pStyle w:val="ListBullet"/>
      </w:pPr>
      <w:r>
        <w:rPr>
          <w:b/>
        </w:rPr>
        <w:t>No unión y falla mecánica.</w:t>
      </w:r>
      <w:r>
        <w:rPr/>
        <w:t xml:space="preserve"> En un metaanálisis, el fémur distal tuvo menos consolidación (86,6 % frente a 93,7 %) y más reoperación (13,4 % frente a 6,1 %) que la diáfisis, sobre todo por falla mecánica [r24]. La no unión fue 4,7 % en distal y 2,8 % en diáfisis [r24].</w:t>
      </w:r>
    </w:p>
    <w:p>
      <w:pPr>
        <w:pStyle w:val="ListBullet"/>
      </w:pPr>
      <w:r>
        <w:rPr>
          <w:b/>
        </w:rPr>
        <w:t>Mala alineación y malrotación.</w:t>
      </w:r>
      <w:r>
        <w:rPr/>
        <w:t xml:space="preserve"> Tras MIPO distal con TC, la rotación fue insatisfactoria en 48,6 % de las fracturas complejas y 26,7 % de las simples, sin diferencia significativa entre ambas [r5]. La discrepancia de longitud fue satisfactoria en 92,3 % [r5]. Con mesa de tracción y soporte femoral solo 1 de 25 pacientes superó 15° [r39].</w:t>
      </w:r>
    </w:p>
    <w:p>
      <w:pPr>
        <w:pStyle w:val="ListBullet"/>
      </w:pPr>
      <w:r>
        <w:rPr>
          <w:b/>
        </w:rPr>
        <w:t>Falla del implante.</w:t>
      </w:r>
      <w:r>
        <w:rPr/>
        <w:t xml:space="preserve"> En la serie de MIPO en diáfisis hubo tornillos rotos en 3 casos, todos en el grupo con tres tornillos agrupados [r13]. En tornillo deslizante, un TAD mayor de 25 mm elevó el riesgo de salida del tornillo (RR 12,71) [r45], y menor de 10 mm hubo más penetración central [r40]. Una pared lateral menor de 20,5 mm predijo fractura de la pared lateral tras DHS en 208 pacientes [r22].</w:t>
      </w:r>
    </w:p>
    <w:p>
      <w:pPr>
        <w:pStyle w:val="ListBullet"/>
      </w:pPr>
      <w:r>
        <w:rPr>
          <w:b/>
        </w:rPr>
        <w:t>Lesión por la mesa de tracción.</w:t>
      </w:r>
      <w:r>
        <w:rPr/>
        <w:t xml:space="preserve"> En 351 pacientes hubo lesión de partes blandas perineales en 11 (3,0 %), con 8 necrosis escrotales y 3 vulvares; la duración media de los síntomas pudendos osciló entre 10 y 639 días [r17]. No se informaron secuelas permanentes al final del seguimiento [r17].</w:t>
      </w:r>
    </w:p>
    <w:p>
      <w:pPr>
        <w:pStyle w:val="ListBullet"/>
      </w:pPr>
      <w:r>
        <w:rPr>
          <w:b/>
        </w:rPr>
        <w:t>Lesión nerviosa por la extensión.</w:t>
      </w:r>
      <w:r>
        <w:rPr/>
        <w:t xml:space="preserve"> El nervio glúteo superior limita la extensión proximal [r18]; el ciático es el nervio de mayor riesgo en las fracturas de diáfisis por su cercanía al hueso [r8].</w:t>
      </w:r>
    </w:p>
    <w:p>
      <w:pPr>
        <w:pStyle w:val="ListBullet"/>
      </w:pPr>
      <w:r>
        <w:rPr>
          <w:b/>
        </w:rPr>
        <w:t>Dolor por el implante lateral y retirada.</w:t>
      </w:r>
      <w:r>
        <w:rPr/>
        <w:t xml:space="preserve"> Sin dato verificable en las fuentes abiertas consultadas.</w:t>
      </w:r>
    </w:p>
    <w:p>
      <w:pPr>
        <w:keepNext/>
      </w:pPr>
      <w:r>
        <w:rPr>
          <w:b/>
          <w:color w:val="0F5F6B"/>
          <w:sz w:val="20"/>
        </w:rPr>
        <w:t>Figura 5. Fémur distal frente a diáfisis: consolidación, reoperación y no unión (metaanálisis)</w:t>
      </w:r>
      <w:r>
        <w:rPr>
          <w:color w:val="5A6469"/>
          <w:sz w:val="18"/>
        </w:rPr>
        <w:t xml:space="preserve">  [r24]</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5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Giannoudis PV, Pape HC, Schütz M. Lateral approach to the femoral shaft [Internet]. En: AO Surgery Reference. Davos: AO Foundation [consultado 2026 oct 12]. Disponible en: https://surgeryreference.aofoundation.org/orthopedic-trauma/adult-trauma/femoral-shaft/approach/lateral-approach </w:t>
      </w:r>
      <w:r>
        <w:rPr>
          <w:i/>
          <w:color w:val="5A6469"/>
          <w:sz w:val="17"/>
        </w:rPr>
        <w:t xml:space="preserve">(web-oficial · acceso abierto) </w:t>
      </w:r>
      <w:hyperlink r:id="rId11">
        <w:r>
          <w:rPr>
            <w:color w:val="0563C1"/>
            <w:u w:val="single"/>
            <w:sz w:val="18"/>
          </w:rPr>
          <w:t xml:space="preserve">https://surgeryreference.aofoundation.org/orthopedic-trauma/adult-trauma/femoral-shaft/approach/lateral-approach</w:t>
        </w:r>
      </w:hyperlink>
    </w:p>
    <w:p>
      <w:pPr>
        <w:spacing w:after="60"/>
        <w:ind w:left="510" w:hanging="510"/>
      </w:pPr>
      <w:r>
        <w:rPr>
          <w:b/>
          <w:sz w:val="18"/>
        </w:rPr>
        <w:t xml:space="preserve">[r4] </w:t>
      </w:r>
      <w:r>
        <w:rPr>
          <w:sz w:val="18"/>
        </w:rPr>
        <w:t xml:space="preserve">Zlowodzki M, Vogt D, Cole PA, Kregor PJ. Plating of femoral shaft fractures: open reduction and internal fixation versus submuscular fixation. J Trauma 2007;63(5):1061-5. doi:10.1097/TA.0b013e318154c0b4 </w:t>
      </w:r>
      <w:r>
        <w:rPr>
          <w:i/>
          <w:color w:val="5A6469"/>
          <w:sz w:val="17"/>
        </w:rPr>
        <w:t xml:space="preserve">(cohorte · acceso resumen) </w:t>
      </w:r>
      <w:hyperlink r:id="rId26">
        <w:r>
          <w:rPr>
            <w:color w:val="0563C1"/>
            <w:u w:val="single"/>
            <w:sz w:val="18"/>
          </w:rPr>
          <w:t xml:space="preserve">https://doi.org/10.1097/TA.0b013e318154c0b4</w:t>
        </w:r>
      </w:hyperlink>
    </w:p>
    <w:p>
      <w:pPr>
        <w:spacing w:after="60"/>
        <w:ind w:left="510" w:hanging="510"/>
      </w:pPr>
      <w:r>
        <w:rPr>
          <w:b/>
          <w:sz w:val="18"/>
        </w:rPr>
        <w:t xml:space="preserve">[r5] </w:t>
      </w:r>
      <w:r>
        <w:rPr>
          <w:sz w:val="18"/>
        </w:rPr>
        <w:t xml:space="preserve">Kim JW, Oh CW, Oh JK, Park IH, Kyung HS, Park KH, et al. Malalignment after minimally invasive plate osteosynthesis in distal femoral fractures. Injury 2017;48(3):751-757. doi:10.1016/j.injury.2017.01.019 </w:t>
      </w:r>
      <w:r>
        <w:rPr>
          <w:i/>
          <w:color w:val="5A6469"/>
          <w:sz w:val="17"/>
        </w:rPr>
        <w:t xml:space="preserve">(serie · acceso resumen) </w:t>
      </w:r>
      <w:hyperlink r:id="rId29">
        <w:r>
          <w:rPr>
            <w:color w:val="0563C1"/>
            <w:u w:val="single"/>
            <w:sz w:val="18"/>
          </w:rPr>
          <w:t xml:space="preserve">https://doi.org/10.1016/j.injury.2017.01.019</w:t>
        </w:r>
      </w:hyperlink>
    </w:p>
    <w:p>
      <w:pPr>
        <w:spacing w:after="60"/>
        <w:ind w:left="510" w:hanging="510"/>
      </w:pPr>
      <w:r>
        <w:rPr>
          <w:b/>
          <w:sz w:val="18"/>
        </w:rPr>
        <w:t xml:space="preserve">[r8] </w:t>
      </w:r>
      <w:r>
        <w:rPr>
          <w:sz w:val="18"/>
        </w:rPr>
        <w:t xml:space="preserve">Denisiuk M, Afsari A. Femoral Shaft Fractures. En: StatPearls [Internet]. Treasure Island (FL): StatPearls Publishing; 2023 ene [consultado 2026 oct 12]. Disponible en: https://www.ncbi.nlm.nih.gov/books/NBK556057/ </w:t>
      </w:r>
      <w:r>
        <w:rPr>
          <w:i/>
          <w:color w:val="5A6469"/>
          <w:sz w:val="17"/>
        </w:rPr>
        <w:t xml:space="preserve">(libro-abierto · acceso abierto) </w:t>
      </w:r>
      <w:hyperlink r:id="rId18">
        <w:r>
          <w:rPr>
            <w:color w:val="0563C1"/>
            <w:u w:val="single"/>
            <w:sz w:val="18"/>
          </w:rPr>
          <w:t xml:space="preserve">https://www.ncbi.nlm.nih.gov/books/NBK556057/</w:t>
        </w:r>
      </w:hyperlink>
    </w:p>
    <w:p>
      <w:pPr>
        <w:spacing w:after="60"/>
        <w:ind w:left="510" w:hanging="510"/>
      </w:pPr>
      <w:r>
        <w:rPr>
          <w:b/>
          <w:sz w:val="18"/>
        </w:rPr>
        <w:t xml:space="preserve">[r13] </w:t>
      </w:r>
      <w:r>
        <w:rPr>
          <w:sz w:val="18"/>
        </w:rPr>
        <w:t xml:space="preserve">Apivatthakakul T, Chiewcharntanakit S. Minimally invasive plate osteosynthesis (MIPO) in the treatment of the femoral shaft fracture where intramedullary nailing is not indicated. Int Orthop 2009;33(4):1119-26. doi:10.1007/s00264-008-0603-2 </w:t>
      </w:r>
      <w:r>
        <w:rPr>
          <w:i/>
          <w:color w:val="5A6469"/>
          <w:sz w:val="17"/>
        </w:rPr>
        <w:t xml:space="preserve">(serie · acceso resumen) </w:t>
      </w:r>
      <w:hyperlink r:id="rId34">
        <w:r>
          <w:rPr>
            <w:color w:val="0563C1"/>
            <w:u w:val="single"/>
            <w:sz w:val="18"/>
          </w:rPr>
          <w:t xml:space="preserve">https://doi.org/10.1007/s00264-008-0603-2</w:t>
        </w:r>
      </w:hyperlink>
    </w:p>
    <w:p>
      <w:pPr>
        <w:spacing w:after="60"/>
        <w:ind w:left="510" w:hanging="510"/>
      </w:pPr>
      <w:r>
        <w:rPr>
          <w:b/>
          <w:sz w:val="18"/>
        </w:rPr>
        <w:t xml:space="preserve">[r15] </w:t>
      </w:r>
      <w:r>
        <w:rPr>
          <w:sz w:val="18"/>
        </w:rPr>
        <w:t xml:space="preserve">Shih Y, Bartschat NI, Cheng EY. Sliding Hip Screw and Side Plate for Intertrochanteric Hip Fractures. JBJS Essent Surg Tech 2022;12(1):e19.00038. doi:10.2106/JBJS.ST.19.00038 </w:t>
      </w:r>
      <w:r>
        <w:rPr>
          <w:i/>
          <w:color w:val="5A6469"/>
          <w:sz w:val="17"/>
        </w:rPr>
        <w:t xml:space="preserve">(revision · acceso resumen) </w:t>
      </w:r>
      <w:hyperlink r:id="rId49">
        <w:r>
          <w:rPr>
            <w:color w:val="0563C1"/>
            <w:u w:val="single"/>
            <w:sz w:val="18"/>
          </w:rPr>
          <w:t xml:space="preserve">https://doi.org/10.2106/JBJS.ST.19.00038</w:t>
        </w:r>
      </w:hyperlink>
    </w:p>
    <w:p>
      <w:pPr>
        <w:spacing w:after="60"/>
        <w:ind w:left="510" w:hanging="510"/>
      </w:pPr>
      <w:r>
        <w:rPr>
          <w:b/>
          <w:sz w:val="18"/>
        </w:rPr>
        <w:t xml:space="preserve">[r17] </w:t>
      </w:r>
      <w:r>
        <w:rPr>
          <w:sz w:val="18"/>
        </w:rPr>
        <w:t xml:space="preserve">Attenasio A, Kraeutler MJ, Hong IS, Baskar S, Patel DV, Wright C, et al. Are complications related to the perineal post on orthopaedic traction tables for surgical fracture fixation more common than we think? A systematic review. Patient Saf Surg 2023;17(1):5. doi:10.1186/s13037-023-00355-y </w:t>
      </w:r>
      <w:r>
        <w:rPr>
          <w:i/>
          <w:color w:val="5A6469"/>
          <w:sz w:val="17"/>
        </w:rPr>
        <w:t xml:space="preserve">(RS-MA · acceso abierto) </w:t>
      </w:r>
      <w:hyperlink r:id="rId50">
        <w:r>
          <w:rPr>
            <w:color w:val="0563C1"/>
            <w:u w:val="single"/>
            <w:sz w:val="18"/>
          </w:rPr>
          <w:t xml:space="preserve">https://doi.org/10.1186/s13037-023-00355-y</w:t>
        </w:r>
      </w:hyperlink>
    </w:p>
    <w:p>
      <w:pPr>
        <w:spacing w:after="60"/>
        <w:ind w:left="510" w:hanging="510"/>
      </w:pPr>
      <w:r>
        <w:rPr>
          <w:b/>
          <w:sz w:val="18"/>
        </w:rPr>
        <w:t xml:space="preserve">[r18] </w:t>
      </w:r>
      <w:r>
        <w:rPr>
          <w:sz w:val="18"/>
        </w:rPr>
        <w:t xml:space="preserve">Apivatthakakul T, Oh JK. Direct lateral approach to the proximal femur [Internet]. En: AO Surgery Reference. Davos: AO Foundation [consultado 2026 oct 12]. Disponible en: https://surgeryreference.aofoundation.org/orthopedic-trauma/adult-trauma/proximal-femur/approach/direct-lateral-approach </w:t>
      </w:r>
      <w:r>
        <w:rPr>
          <w:i/>
          <w:color w:val="5A6469"/>
          <w:sz w:val="17"/>
        </w:rPr>
        <w:t xml:space="preserve">(web-oficial · acceso abierto) </w:t>
      </w:r>
      <w:hyperlink r:id="rId21">
        <w:r>
          <w:rPr>
            <w:color w:val="0563C1"/>
            <w:u w:val="single"/>
            <w:sz w:val="18"/>
          </w:rPr>
          <w:t xml:space="preserve">https://surgeryreference.aofoundation.org/orthopedic-trauma/adult-trauma/proximal-femur/approach/direct-lateral-approach</w:t>
        </w:r>
      </w:hyperlink>
    </w:p>
    <w:p>
      <w:pPr>
        <w:spacing w:after="60"/>
        <w:ind w:left="510" w:hanging="510"/>
      </w:pPr>
      <w:r>
        <w:rPr>
          <w:b/>
          <w:sz w:val="18"/>
        </w:rPr>
        <w:t xml:space="preserve">[r21] </w:t>
      </w:r>
      <w:r>
        <w:rPr>
          <w:sz w:val="18"/>
        </w:rPr>
        <w:t xml:space="preserve">Manner M, Rösch B, Roy K. [Vascular injuries complicating osteosynthesis in proximal femur fractures]. Unfallchirurg 1999;102(3):227-31. doi:10.1007/s001130050395 </w:t>
      </w:r>
      <w:r>
        <w:rPr>
          <w:i/>
          <w:color w:val="5A6469"/>
          <w:sz w:val="17"/>
        </w:rPr>
        <w:t xml:space="preserve">(serie · acceso resumen) </w:t>
      </w:r>
      <w:hyperlink r:id="rId23">
        <w:r>
          <w:rPr>
            <w:color w:val="0563C1"/>
            <w:u w:val="single"/>
            <w:sz w:val="18"/>
          </w:rPr>
          <w:t xml:space="preserve">https://doi.org/10.1007/s001130050395</w:t>
        </w:r>
      </w:hyperlink>
    </w:p>
    <w:p>
      <w:pPr>
        <w:spacing w:after="60"/>
        <w:ind w:left="510" w:hanging="510"/>
      </w:pPr>
      <w:r>
        <w:rPr>
          <w:b/>
          <w:sz w:val="18"/>
        </w:rPr>
        <w:t xml:space="preserve">[r22] </w:t>
      </w:r>
      <w:r>
        <w:rPr>
          <w:sz w:val="18"/>
        </w:rPr>
        <w:t xml:space="preserve">Hsu CE, Shih CM, Wang CC, Huang KC. Lateral femoral wall thickness. A reliable predictor of post-operative lateral wall fracture in intertrochanteric fractures. Bone Joint J 2013;95-B(8):1134-8. doi:10.1302/0301-620X.95B8.31495 </w:t>
      </w:r>
      <w:r>
        <w:rPr>
          <w:i/>
          <w:color w:val="5A6469"/>
          <w:sz w:val="17"/>
        </w:rPr>
        <w:t xml:space="preserve">(cohorte · acceso resumen) </w:t>
      </w:r>
      <w:hyperlink r:id="rId31">
        <w:r>
          <w:rPr>
            <w:color w:val="0563C1"/>
            <w:u w:val="single"/>
            <w:sz w:val="18"/>
          </w:rPr>
          <w:t xml:space="preserve">https://doi.org/10.1302/0301-620X.95B8.31495</w:t>
        </w:r>
      </w:hyperlink>
    </w:p>
    <w:p>
      <w:pPr>
        <w:spacing w:after="60"/>
        <w:ind w:left="510" w:hanging="510"/>
      </w:pPr>
      <w:r>
        <w:rPr>
          <w:b/>
          <w:sz w:val="18"/>
        </w:rPr>
        <w:t xml:space="preserve">[r23] </w:t>
      </w:r>
      <w:r>
        <w:rPr>
          <w:sz w:val="18"/>
        </w:rPr>
        <w:t xml:space="preserve">Haidukewych GJ, Israel TA, Berry DJ. Reverse obliquity fractures of the intertrochanteric region of the femur. J Bone Joint Surg Am 2001;83(5):643-50. doi:10.2106/00004623-200105000-00001 </w:t>
      </w:r>
      <w:r>
        <w:rPr>
          <w:i/>
          <w:color w:val="5A6469"/>
          <w:sz w:val="17"/>
        </w:rPr>
        <w:t xml:space="preserve">(serie · acceso resumen) </w:t>
      </w:r>
      <w:hyperlink r:id="rId35">
        <w:r>
          <w:rPr>
            <w:color w:val="0563C1"/>
            <w:u w:val="single"/>
            <w:sz w:val="18"/>
          </w:rPr>
          <w:t xml:space="preserve">https://doi.org/10.2106/00004623-200105000-00001</w:t>
        </w:r>
      </w:hyperlink>
    </w:p>
    <w:p>
      <w:pPr>
        <w:spacing w:after="60"/>
        <w:ind w:left="510" w:hanging="510"/>
      </w:pPr>
      <w:r>
        <w:rPr>
          <w:b/>
          <w:sz w:val="18"/>
        </w:rPr>
        <w:t xml:space="preserve">[r24] </w:t>
      </w:r>
      <w:r>
        <w:rPr>
          <w:sz w:val="18"/>
        </w:rPr>
        <w:t xml:space="preserve">Koso RE, Terhoeve C, Steen RG, Zura R. Healing, nonunion, and re-operation after internal fixation of diaphyseal and distal femoral fractures: a systematic review and meta-analysis. Int Orthop 2018;42(11):2675-2683. doi:10.1007/s00264-018-3864-4 </w:t>
      </w:r>
      <w:r>
        <w:rPr>
          <w:i/>
          <w:color w:val="5A6469"/>
          <w:sz w:val="17"/>
        </w:rPr>
        <w:t xml:space="preserve">(RS-MA · acceso resumen) </w:t>
      </w:r>
      <w:hyperlink r:id="rId36">
        <w:r>
          <w:rPr>
            <w:color w:val="0563C1"/>
            <w:u w:val="single"/>
            <w:sz w:val="18"/>
          </w:rPr>
          <w:t xml:space="preserve">https://doi.org/10.1007/s00264-018-3864-4</w:t>
        </w:r>
      </w:hyperlink>
    </w:p>
    <w:p>
      <w:pPr>
        <w:spacing w:after="60"/>
        <w:ind w:left="510" w:hanging="510"/>
      </w:pPr>
      <w:r>
        <w:rPr>
          <w:b/>
          <w:sz w:val="18"/>
        </w:rPr>
        <w:t xml:space="preserve">[r32] </w:t>
      </w:r>
      <w:r>
        <w:rPr>
          <w:sz w:val="18"/>
        </w:rPr>
        <w:t xml:space="preserve">Papakostidis C, Grotz MR, Papadokostakis G, Dimitriou R, Giannoudis PV. Femoral biologic plate fixation. Clin Orthop Relat Res 2006;450:193-202. doi:10.1097/01.blo.0000218760.19934.2b </w:t>
      </w:r>
      <w:r>
        <w:rPr>
          <w:i/>
          <w:color w:val="5A6469"/>
          <w:sz w:val="17"/>
        </w:rPr>
        <w:t xml:space="preserve">(RS-MA · acceso resumen) </w:t>
      </w:r>
      <w:hyperlink r:id="rId39">
        <w:r>
          <w:rPr>
            <w:color w:val="0563C1"/>
            <w:u w:val="single"/>
            <w:sz w:val="18"/>
          </w:rPr>
          <w:t xml:space="preserve">https://doi.org/10.1097/01.blo.0000218760.19934.2b</w:t>
        </w:r>
      </w:hyperlink>
    </w:p>
    <w:p>
      <w:pPr>
        <w:spacing w:after="60"/>
        <w:ind w:left="510" w:hanging="510"/>
      </w:pPr>
      <w:r>
        <w:rPr>
          <w:b/>
          <w:sz w:val="18"/>
        </w:rPr>
        <w:t xml:space="preserve">[r39] </w:t>
      </w:r>
      <w:r>
        <w:rPr>
          <w:sz w:val="18"/>
        </w:rPr>
        <w:t xml:space="preserve">Paulsson M, Ekholm C, Tranberg R, Rolfson O, Geijer M. Using a Traction Table for Fracture Reduction during Minimally Invasive Plate Osteosynthesis (MIPO) of Distal Femoral Fractures Provides Anatomical Alignment. J Clin Med 2023;12(12):4044. doi:10.3390/jcm12124044 </w:t>
      </w:r>
      <w:r>
        <w:rPr>
          <w:i/>
          <w:color w:val="5A6469"/>
          <w:sz w:val="17"/>
        </w:rPr>
        <w:t xml:space="preserve">(serie · acceso abierto) </w:t>
      </w:r>
      <w:hyperlink r:id="rId51">
        <w:r>
          <w:rPr>
            <w:color w:val="0563C1"/>
            <w:u w:val="single"/>
            <w:sz w:val="18"/>
          </w:rPr>
          <w:t xml:space="preserve">https://doi.org/10.3390/jcm12124044</w:t>
        </w:r>
      </w:hyperlink>
    </w:p>
    <w:p>
      <w:pPr>
        <w:spacing w:after="60"/>
        <w:ind w:left="510" w:hanging="510"/>
      </w:pPr>
      <w:r>
        <w:rPr>
          <w:b/>
          <w:sz w:val="18"/>
        </w:rPr>
        <w:t xml:space="preserve">[r40] </w:t>
      </w:r>
      <w:r>
        <w:rPr>
          <w:sz w:val="18"/>
        </w:rPr>
        <w:t xml:space="preserve">Levine AR, Klug T, Cross J, Salameh M, Riedel M, Leslie M. Risk factors for cut-throughs in intertrochanteric hip fracture fixation Tip-Apex Distance (TAD) &lt;10 mm and Apex-to-Center &lt;4 mm. Injury 2025;56(3):112205. doi:10.1016/j.injury.2025.112205 </w:t>
      </w:r>
      <w:r>
        <w:rPr>
          <w:i/>
          <w:color w:val="5A6469"/>
          <w:sz w:val="17"/>
        </w:rPr>
        <w:t xml:space="preserve">(cohorte · acceso resumen) </w:t>
      </w:r>
      <w:hyperlink r:id="rId52">
        <w:r>
          <w:rPr>
            <w:color w:val="0563C1"/>
            <w:u w:val="single"/>
            <w:sz w:val="18"/>
          </w:rPr>
          <w:t xml:space="preserve">https://doi.org/10.1016/j.injury.2025.112205</w:t>
        </w:r>
      </w:hyperlink>
    </w:p>
    <w:p>
      <w:pPr>
        <w:spacing w:after="60"/>
        <w:ind w:left="510" w:hanging="510"/>
      </w:pPr>
      <w:r>
        <w:rPr>
          <w:b/>
          <w:sz w:val="18"/>
        </w:rPr>
        <w:t xml:space="preserve">[r44] </w:t>
      </w:r>
      <w:r>
        <w:rPr>
          <w:sz w:val="18"/>
        </w:rPr>
        <w:t xml:space="preserve">Pollmann CT, Dahl FA, Røtterud JHM, Gjertsen JE, Årøen A. Surgical site infection after hip fracture - mortality and risk factors: an observational cohort study of 1,709 patients. Acta Orthop 2020;91(3):347-352. doi:10.1080/17453674.2020.1717841 </w:t>
      </w:r>
      <w:r>
        <w:rPr>
          <w:i/>
          <w:color w:val="5A6469"/>
          <w:sz w:val="17"/>
        </w:rPr>
        <w:t xml:space="preserve">(cohorte · acceso abierto) </w:t>
      </w:r>
      <w:hyperlink r:id="rId59">
        <w:r>
          <w:rPr>
            <w:color w:val="0563C1"/>
            <w:u w:val="single"/>
            <w:sz w:val="18"/>
          </w:rPr>
          <w:t xml:space="preserve">https://doi.org/10.1080/17453674.2020.1717841</w:t>
        </w:r>
      </w:hyperlink>
    </w:p>
    <w:p>
      <w:pPr>
        <w:spacing w:after="60"/>
        <w:ind w:left="510" w:hanging="510"/>
      </w:pPr>
      <w:r>
        <w:rPr>
          <w:b/>
          <w:sz w:val="18"/>
        </w:rPr>
        <w:t xml:space="preserve">[r45] </w:t>
      </w:r>
      <w:r>
        <w:rPr>
          <w:sz w:val="18"/>
        </w:rPr>
        <w:t xml:space="preserve">Rubio-Avila J, Madden K, Simunovic N, Bhandari M. Tip to apex distance in femoral intertrochanteric fractures: a systematic review. J Orthop Sci 2013;18(4):592-8. doi:10.1007/s00776-013-0402-5 </w:t>
      </w:r>
      <w:r>
        <w:rPr>
          <w:i/>
          <w:color w:val="5A6469"/>
          <w:sz w:val="17"/>
        </w:rPr>
        <w:t xml:space="preserve">(RS-MA · acceso resumen) </w:t>
      </w:r>
      <w:hyperlink r:id="rId60">
        <w:r>
          <w:rPr>
            <w:color w:val="0563C1"/>
            <w:u w:val="single"/>
            <w:sz w:val="18"/>
          </w:rPr>
          <w:t xml:space="preserve">https://doi.org/10.1007/s00776-013-0402-5</w:t>
        </w:r>
      </w:hyperlink>
    </w:p>
    <w:p>
      <w:pPr>
        <w:pStyle w:val="Heading1"/>
      </w:pPr>
      <w:r>
        <w:t>Pronóstico</w:t>
      </w:r>
    </w:p>
    <w:p>
      <w:r>
        <w:rPr/>
        <w:t>El pronóstico depende más de la región y de la reducción que de la ventana. Estas son las cifras que tienen fuente abierta.</w:t>
      </w:r>
    </w:p>
    <w:p>
      <w:pPr>
        <w:pStyle w:val="ListBullet"/>
      </w:pPr>
      <w:r>
        <w:rPr>
          <w:b/>
        </w:rPr>
        <w:t>Placa biológica en el fémur.</w:t>
      </w:r>
      <w:r>
        <w:rPr/>
        <w:t xml:space="preserve"> Sumando 19 estudios (687 pacientes, 697 fracturas de todo el fémur, 29 % diafisarias), consolidó el 98,4 %; según el estudio, el tiempo medio a la consolidación iba de 10,7 a 24 semanas, y lo que más se repitió fue la mala unión (0-29 %) y la reoperación (0-23 %) [r32].</w:t>
      </w:r>
    </w:p>
    <w:p>
      <w:pPr>
        <w:pStyle w:val="ListBullet"/>
      </w:pPr>
      <w:r>
        <w:rPr>
          <w:b/>
        </w:rPr>
        <w:t>MIPO en diáfisis sin opción de clavo.</w:t>
      </w:r>
      <w:r>
        <w:rPr/>
        <w:t xml:space="preserve"> De 36 fracturas, 33 consolidaron a las 21,0 semanas (12-28) y 2 con retraso necesitaron injerto [r13].</w:t>
      </w:r>
    </w:p>
    <w:p>
      <w:pPr>
        <w:pStyle w:val="ListBullet"/>
      </w:pPr>
      <w:r>
        <w:rPr>
          <w:b/>
        </w:rPr>
        <w:t>Fémur distal con placa poco invasiva.</w:t>
      </w:r>
      <w:r>
        <w:rPr/>
        <w:t xml:space="preserve"> Con el sistema LISS, 96 de 103 fracturas (93 %) curaron sin necesitar injerto; las no uniones fueron 2 y las infecciones agudas 3, y la rodilla quedó con un arco medio de 1 a 109 grados [r34].</w:t>
      </w:r>
    </w:p>
    <w:p>
      <w:pPr>
        <w:pStyle w:val="ListBullet"/>
      </w:pPr>
      <w:r>
        <w:rPr>
          <w:b/>
        </w:rPr>
        <w:t>No unión subtrocantérica revisada.</w:t>
      </w:r>
      <w:r>
        <w:rPr/>
        <w:t xml:space="preserve"> 20 de 21 consolidaron (95 %) [r31].</w:t>
      </w:r>
    </w:p>
    <w:p>
      <w:pPr>
        <w:pStyle w:val="ListBullet"/>
      </w:pPr>
      <w:r>
        <w:rPr>
          <w:b/>
        </w:rPr>
        <w:t>Osteotomía por no unión del cuello.</w:t>
      </w:r>
      <w:r>
        <w:rPr/>
        <w:t xml:space="preserve"> Consolidó 97 % (31 de 32), con necrosis avascular en 22 % (7 pacientes) y conversión a prótesis en 9 % (3); con corrección de 30° la necrosis fue 67 % frente a 12 % con corrección menor [r35].</w:t>
      </w:r>
    </w:p>
    <w:p>
      <w:pPr>
        <w:pStyle w:val="ListBullet"/>
      </w:pPr>
      <w:r>
        <w:rPr>
          <w:b/>
        </w:rPr>
        <w:t>Cadera inestable.</w:t>
      </w:r>
      <w:r>
        <w:rPr/>
        <w:t xml:space="preserve"> Sin diferencia funcional a 12 meses entre implantes, pero con menor mortalidad con clavo en una cohorte observacional [r30].</w:t>
      </w:r>
    </w:p>
    <w:p>
      <w:pPr>
        <w:keepNext/>
      </w:pPr>
      <w:r>
        <w:rPr>
          <w:b/>
          <w:color w:val="0F5F6B"/>
          <w:sz w:val="20"/>
        </w:rPr>
        <w:t>Figura 6. Consolidación informada según la serie</w:t>
      </w:r>
      <w:r>
        <w:rPr>
          <w:color w:val="5A6469"/>
          <w:sz w:val="18"/>
        </w:rPr>
        <w:t xml:space="preserve">  [r32] [r35] [r31] [r34] [r24]</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61"/>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[r13] </w:t>
      </w:r>
      <w:r>
        <w:rPr>
          <w:sz w:val="18"/>
        </w:rPr>
        <w:t xml:space="preserve">Apivatthakakul T, Chiewcharntanakit S. Minimally invasive plate osteosynthesis (MIPO) in the treatment of the femoral shaft fracture where intramedullary nailing is not indicated. Int Orthop 2009;33(4):1119-26. doi:10.1007/s00264-008-0603-2 </w:t>
      </w:r>
      <w:r>
        <w:rPr>
          <w:i/>
          <w:color w:val="5A6469"/>
          <w:sz w:val="17"/>
        </w:rPr>
        <w:t xml:space="preserve">(serie · acceso resumen) </w:t>
      </w:r>
      <w:hyperlink r:id="rId34">
        <w:r>
          <w:rPr>
            <w:color w:val="0563C1"/>
            <w:u w:val="single"/>
            <w:sz w:val="18"/>
          </w:rPr>
          <w:t xml:space="preserve">https://doi.org/10.1007/s00264-008-0603-2</w:t>
        </w:r>
      </w:hyperlink>
    </w:p>
    <w:p>
      <w:pPr>
        <w:spacing w:after="60"/>
        <w:ind w:left="510" w:hanging="510"/>
      </w:pPr>
      <w:r>
        <w:rPr>
          <w:b/>
          <w:sz w:val="18"/>
        </w:rPr>
        <w:t xml:space="preserve">[r24] </w:t>
      </w:r>
      <w:r>
        <w:rPr>
          <w:sz w:val="18"/>
        </w:rPr>
        <w:t xml:space="preserve">Koso RE, Terhoeve C, Steen RG, Zura R. Healing, nonunion, and re-operation after internal fixation of diaphyseal and distal femoral fractures: a systematic review and meta-analysis. Int Orthop 2018;42(11):2675-2683. doi:10.1007/s00264-018-3864-4 </w:t>
      </w:r>
      <w:r>
        <w:rPr>
          <w:i/>
          <w:color w:val="5A6469"/>
          <w:sz w:val="17"/>
        </w:rPr>
        <w:t xml:space="preserve">(RS-MA · acceso resumen) </w:t>
      </w:r>
      <w:hyperlink r:id="rId36">
        <w:r>
          <w:rPr>
            <w:color w:val="0563C1"/>
            <w:u w:val="single"/>
            <w:sz w:val="18"/>
          </w:rPr>
          <w:t xml:space="preserve">https://doi.org/10.1007/s00264-018-3864-4</w:t>
        </w:r>
      </w:hyperlink>
    </w:p>
    <w:p>
      <w:pPr>
        <w:spacing w:after="60"/>
        <w:ind w:left="510" w:hanging="510"/>
      </w:pPr>
      <w:r>
        <w:rPr>
          <w:b/>
          <w:sz w:val="18"/>
        </w:rPr>
        <w:t xml:space="preserve">[r30] </w:t>
      </w:r>
      <w:r>
        <w:rPr>
          <w:sz w:val="18"/>
        </w:rPr>
        <w:t xml:space="preserve">Tucker A, Donnelly KJ, Rowan C, McDonald S, Foster AP. Is the Best Plate a Nail? A Review of 3230 Unstable Intertrochanteric Fractures of the Proximal Femur. J Orthop Trauma 2018;32(2):53-60. doi:10.1097/BOT.0000000000001038 </w:t>
      </w:r>
      <w:r>
        <w:rPr>
          <w:i/>
          <w:color w:val="5A6469"/>
          <w:sz w:val="17"/>
        </w:rPr>
        <w:t xml:space="preserve">(cohorte · acceso resumen) </w:t>
      </w:r>
      <w:hyperlink r:id="rId37">
        <w:r>
          <w:rPr>
            <w:color w:val="0563C1"/>
            <w:u w:val="single"/>
            <w:sz w:val="18"/>
          </w:rPr>
          <w:t xml:space="preserve">https://doi.org/10.1097/BOT.0000000000001038</w:t>
        </w:r>
      </w:hyperlink>
    </w:p>
    <w:p>
      <w:pPr>
        <w:spacing w:after="60"/>
        <w:ind w:left="510" w:hanging="510"/>
      </w:pPr>
      <w:r>
        <w:rPr>
          <w:b/>
          <w:sz w:val="18"/>
        </w:rPr>
        <w:t xml:space="preserve">[r31] </w:t>
      </w:r>
      <w:r>
        <w:rPr>
          <w:sz w:val="18"/>
        </w:rPr>
        <w:t xml:space="preserve">Haidukewych GJ, Berry DJ. Nonunion of fractures of the subtrochanteric region of the femur. Clin Orthop Relat Res 2004;(419):185-8. doi:10.1097/00003086-200402000-00030 </w:t>
      </w:r>
      <w:r>
        <w:rPr>
          <w:i/>
          <w:color w:val="5A6469"/>
          <w:sz w:val="17"/>
        </w:rPr>
        <w:t xml:space="preserve">(serie · acceso resumen) </w:t>
      </w:r>
      <w:hyperlink r:id="rId38">
        <w:r>
          <w:rPr>
            <w:color w:val="0563C1"/>
            <w:u w:val="single"/>
            <w:sz w:val="18"/>
          </w:rPr>
          <w:t xml:space="preserve">https://doi.org/10.1097/00003086-200402000-00030</w:t>
        </w:r>
      </w:hyperlink>
    </w:p>
    <w:p>
      <w:pPr>
        <w:spacing w:after="60"/>
        <w:ind w:left="510" w:hanging="510"/>
      </w:pPr>
      <w:r>
        <w:rPr>
          <w:b/>
          <w:sz w:val="18"/>
        </w:rPr>
        <w:t xml:space="preserve">[r32] </w:t>
      </w:r>
      <w:r>
        <w:rPr>
          <w:sz w:val="18"/>
        </w:rPr>
        <w:t xml:space="preserve">Papakostidis C, Grotz MR, Papadokostakis G, Dimitriou R, Giannoudis PV. Femoral biologic plate fixation. Clin Orthop Relat Res 2006;450:193-202. doi:10.1097/01.blo.0000218760.19934.2b </w:t>
      </w:r>
      <w:r>
        <w:rPr>
          <w:i/>
          <w:color w:val="5A6469"/>
          <w:sz w:val="17"/>
        </w:rPr>
        <w:t xml:space="preserve">(RS-MA · acceso resumen) </w:t>
      </w:r>
      <w:hyperlink r:id="rId39">
        <w:r>
          <w:rPr>
            <w:color w:val="0563C1"/>
            <w:u w:val="single"/>
            <w:sz w:val="18"/>
          </w:rPr>
          <w:t xml:space="preserve">https://doi.org/10.1097/01.blo.0000218760.19934.2b</w:t>
        </w:r>
      </w:hyperlink>
    </w:p>
    <w:p>
      <w:pPr>
        <w:spacing w:after="60"/>
        <w:ind w:left="510" w:hanging="510"/>
      </w:pPr>
      <w:r>
        <w:rPr>
          <w:b/>
          <w:sz w:val="18"/>
        </w:rPr>
        <w:t xml:space="preserve">[r34] </w:t>
      </w:r>
      <w:r>
        <w:rPr>
          <w:sz w:val="18"/>
        </w:rPr>
        <w:t xml:space="preserve">Kregor PJ, Stannard JA, Zlowodzki M, Cole PA. Treatment of distal femur fractures using the less invasive stabilization system: surgical experience and early clinical results in 103 fractures. J Orthop Trauma 2004;18(8):509-20. doi:10.1097/00005131-200409000-00006 </w:t>
      </w:r>
      <w:r>
        <w:rPr>
          <w:i/>
          <w:color w:val="5A6469"/>
          <w:sz w:val="17"/>
        </w:rPr>
        <w:t xml:space="preserve">(serie · acceso resumen) </w:t>
      </w:r>
      <w:hyperlink r:id="rId41">
        <w:r>
          <w:rPr>
            <w:color w:val="0563C1"/>
            <w:u w:val="single"/>
            <w:sz w:val="18"/>
          </w:rPr>
          <w:t xml:space="preserve">https://doi.org/10.1097/00005131-200409000-00006</w:t>
        </w:r>
      </w:hyperlink>
    </w:p>
    <w:p>
      <w:pPr>
        <w:spacing w:after="60"/>
        <w:ind w:left="510" w:hanging="510"/>
      </w:pPr>
      <w:r>
        <w:rPr>
          <w:b/>
          <w:sz w:val="18"/>
        </w:rPr>
        <w:t xml:space="preserve">[r35] </w:t>
      </w:r>
      <w:r>
        <w:rPr>
          <w:sz w:val="18"/>
        </w:rPr>
        <w:t xml:space="preserve">Yuan BJ, Shearer DW, Barei DP, Nork SE. Intertrochanteric Osteotomy for Femoral Neck Nonunion: Does "Undercorrection" Result in an Acceptable Rate of Femoral Neck Union? J Orthop Trauma 2017;31(8):420-426. doi:10.1097/BOT.0000000000000869 </w:t>
      </w:r>
      <w:r>
        <w:rPr>
          <w:i/>
          <w:color w:val="5A6469"/>
          <w:sz w:val="17"/>
        </w:rPr>
        <w:t xml:space="preserve">(cohorte · acceso resumen) </w:t>
      </w:r>
      <w:hyperlink r:id="rId42">
        <w:r>
          <w:rPr>
            <w:color w:val="0563C1"/>
            <w:u w:val="single"/>
            <w:sz w:val="18"/>
          </w:rPr>
          <w:t xml:space="preserve">https://doi.org/10.1097/BOT.0000000000000869</w:t>
        </w:r>
      </w:hyperlink>
    </w:p>
    <w:p>
      <w:pPr>
        <w:pStyle w:val="Heading1"/>
      </w:pPr>
      <w:r>
        <w:t>Rehabilitación</w:t>
      </w:r>
    </w:p>
    <w:p>
      <w:r>
        <w:rPr/>
        <w:t>La rehabilitación la define la fractura y el implante, no la ventana. Lo que sigue es orientación de estudio; el protocolo lo marca tu tutor (práctica habitual / opinión experta).</w:t>
      </w:r>
    </w:p>
    <w:p>
      <w:pPr>
        <w:pStyle w:val="ListBullet"/>
      </w:pPr>
      <w:r>
        <w:rPr/>
        <w:t>Movilización precoz del paciente con fractura de cadera es un objetivo del tratamiento quirúrgico [r15].</w:t>
      </w:r>
    </w:p>
    <w:p>
      <w:pPr>
        <w:pStyle w:val="ListBullet"/>
      </w:pPr>
      <w:r>
        <w:rPr/>
        <w:t>En fracturas periprotésicas de fémur sobre prótesis de rodilla, con vía mínimamente invasiva el apoyo se reinició a las 4,3 semanas frente a 10,1 con vía estándar (cohorte observacional) [r37].</w:t>
      </w:r>
    </w:p>
    <w:p>
      <w:pPr>
        <w:pStyle w:val="ListBullet"/>
      </w:pPr>
      <w:r>
        <w:rPr/>
        <w:t>Tras fémur distal con placa poco invasiva, el arco medio de la rodilla fue de 1 a 109 grados [r34].</w:t>
      </w:r>
    </w:p>
    <w:p>
      <w:pPr>
        <w:pStyle w:val="ListBullet"/>
      </w:pPr>
      <w:r>
        <w:rPr/>
        <w:t>Vigilar el cuádriceps y la rotación del miembro desde el control temprano (práctica habitual / opinión experta).</w:t>
      </w:r>
    </w:p>
    <w:p>
      <w:pPr>
        <w:keepNext/>
      </w:pPr>
      <w:r>
        <w:rPr>
          <w:b/>
          <w:color w:val="0F5F6B"/>
          <w:sz w:val="20"/>
        </w:rPr>
        <w:t>Referencias de este bloque</w:t>
      </w:r>
    </w:p>
    <w:p>
      <w:pPr>
        <w:spacing w:after="60"/>
        <w:ind w:left="510" w:hanging="510"/>
      </w:pPr>
      <w:r>
        <w:rPr>
          <w:b/>
          <w:sz w:val="18"/>
        </w:rPr>
        <w:t xml:space="preserve">[r13] </w:t>
      </w:r>
      <w:r>
        <w:rPr>
          <w:sz w:val="18"/>
        </w:rPr>
        <w:t xml:space="preserve">Apivatthakakul T, Chiewcharntanakit S. Minimally invasive plate osteosynthesis (MIPO) in the treatment of the femoral shaft fracture where intramedullary nailing is not indicated. Int Orthop 2009;33(4):1119-26. doi:10.1007/s00264-008-0603-2 </w:t>
      </w:r>
      <w:r>
        <w:rPr>
          <w:i/>
          <w:color w:val="5A6469"/>
          <w:sz w:val="17"/>
        </w:rPr>
        <w:t xml:space="preserve">(serie · acceso resumen) </w:t>
      </w:r>
      <w:hyperlink r:id="rId34">
        <w:r>
          <w:rPr>
            <w:color w:val="0563C1"/>
            <w:u w:val="single"/>
            <w:sz w:val="18"/>
          </w:rPr>
          <w:t xml:space="preserve">https://doi.org/10.1007/s00264-008-0603-2</w:t>
        </w:r>
      </w:hyperlink>
    </w:p>
    <w:p>
      <w:pPr>
        <w:spacing w:after="60"/>
        <w:ind w:left="510" w:hanging="510"/>
      </w:pPr>
      <w:r>
        <w:rPr>
          <w:b/>
          <w:sz w:val="18"/>
        </w:rPr>
        <w:t xml:space="preserve">[r15] </w:t>
      </w:r>
      <w:r>
        <w:rPr>
          <w:sz w:val="18"/>
        </w:rPr>
        <w:t xml:space="preserve">Shih Y, Bartschat NI, Cheng EY. Sliding Hip Screw and Side Plate for Intertrochanteric Hip Fractures. JBJS Essent Surg Tech 2022;12(1):e19.00038. doi:10.2106/JBJS.ST.19.00038 </w:t>
      </w:r>
      <w:r>
        <w:rPr>
          <w:i/>
          <w:color w:val="5A6469"/>
          <w:sz w:val="17"/>
        </w:rPr>
        <w:t xml:space="preserve">(revision · acceso resumen) </w:t>
      </w:r>
      <w:hyperlink r:id="rId49">
        <w:r>
          <w:rPr>
            <w:color w:val="0563C1"/>
            <w:u w:val="single"/>
            <w:sz w:val="18"/>
          </w:rPr>
          <w:t xml:space="preserve">https://doi.org/10.2106/JBJS.ST.19.00038</w:t>
        </w:r>
      </w:hyperlink>
    </w:p>
    <w:p>
      <w:pPr>
        <w:spacing w:after="60"/>
        <w:ind w:left="510" w:hanging="510"/>
      </w:pPr>
      <w:r>
        <w:rPr>
          <w:b/>
          <w:sz w:val="18"/>
        </w:rPr>
        <w:t xml:space="preserve">[r34] </w:t>
      </w:r>
      <w:r>
        <w:rPr>
          <w:sz w:val="18"/>
        </w:rPr>
        <w:t xml:space="preserve">Kregor PJ, Stannard JA, Zlowodzki M, Cole PA. Treatment of distal femur fractures using the less invasive stabilization system: surgical experience and early clinical results in 103 fractures. J Orthop Trauma 2004;18(8):509-20. doi:10.1097/00005131-200409000-00006 </w:t>
      </w:r>
      <w:r>
        <w:rPr>
          <w:i/>
          <w:color w:val="5A6469"/>
          <w:sz w:val="17"/>
        </w:rPr>
        <w:t xml:space="preserve">(serie · acceso resumen) </w:t>
      </w:r>
      <w:hyperlink r:id="rId41">
        <w:r>
          <w:rPr>
            <w:color w:val="0563C1"/>
            <w:u w:val="single"/>
            <w:sz w:val="18"/>
          </w:rPr>
          <w:t xml:space="preserve">https://doi.org/10.1097/00005131-200409000-00006</w:t>
        </w:r>
      </w:hyperlink>
    </w:p>
    <w:p>
      <w:pPr>
        <w:spacing w:after="60"/>
        <w:ind w:left="510" w:hanging="510"/>
      </w:pPr>
      <w:r>
        <w:rPr>
          <w:b/>
          <w:sz w:val="18"/>
        </w:rPr>
        <w:t xml:space="preserve">[r37] </w:t>
      </w:r>
      <w:r>
        <w:rPr>
          <w:sz w:val="18"/>
        </w:rPr>
        <w:t xml:space="preserve">Le Baron M, Battut T, Bégué T, Ehlinger M, Flecher X, SOFCOT. Minimally invasive surgery of femoral periprosthetic fractures increases the rate of consolidation and decreases time to bone healing without a higher rate of complications. Orthop Traumatol Surg Res 2024;110(7):103866. doi:10.1016/j.otsr.2024.103866 </w:t>
      </w:r>
      <w:r>
        <w:rPr>
          <w:i/>
          <w:color w:val="5A6469"/>
          <w:sz w:val="17"/>
        </w:rPr>
        <w:t xml:space="preserve">(cohorte · acceso resumen) </w:t>
      </w:r>
      <w:hyperlink r:id="rId44">
        <w:r>
          <w:rPr>
            <w:color w:val="0563C1"/>
            <w:u w:val="single"/>
            <w:sz w:val="18"/>
          </w:rPr>
          <w:t xml:space="preserve">https://doi.org/10.1016/j.otsr.2024.103866</w:t>
        </w:r>
      </w:hyperlink>
    </w:p>
    <w:p>
      <w:pPr>
        <w:pStyle w:val="Heading1"/>
      </w:pPr>
      <w:r>
        <w:t>Guías vigentes</w:t>
      </w:r>
    </w:p>
    <w:p>
      <w:r>
        <w:rPr/>
        <w:t>Dos guías sobre fractura de cadera sostienen la elección del implante en este tema. Ninguna es específica del abordaje lateral del fémur: se usan para decidir qué implante va y, por tanto, qué ventana abrir. Las páginas de la AO sobre abordajes se enlazan como lectura recomendada.</w:t>
      </w:r>
    </w:p>
    <w:p>
      <w:pPr>
        <w:keepNext/>
      </w:pPr>
      <w:r>
        <w:rPr>
          <w:b/>
          <w:color w:val="0F5F6B"/>
          <w:sz w:val="20"/>
        </w:rPr>
        <w:t>Tabla 7. Qué dicen las guías sobre implante en fractura extracapsular</w:t>
      </w:r>
      <w:r>
        <w:rPr>
          <w:color w:val="5A6469"/>
          <w:sz w:val="18"/>
        </w:rPr>
        <w:t xml:space="preserve">  [r6] [r29]</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Guía</w:t>
            </w:r>
          </w:p>
        </w:tc>
        <w:tc>
          <w:tcPr>
            <w:tcW w:type="dxa" w:w="2353"/>
            <w:shd w:val="clear" w:color="auto" w:fill="0F5F6B"/>
          </w:tcPr>
          <w:p>
            <w:r/>
            <w:r>
              <w:rPr>
                <w:b/>
                <w:color w:val="FFFFFF"/>
                <w:sz w:val="20"/>
              </w:rPr>
              <w:t>Fractura</w:t>
            </w:r>
          </w:p>
        </w:tc>
        <w:tc>
          <w:tcPr>
            <w:tcW w:type="dxa" w:w="2353"/>
            <w:shd w:val="clear" w:color="auto" w:fill="0F5F6B"/>
          </w:tcPr>
          <w:p>
            <w:r/>
            <w:r>
              <w:rPr>
                <w:b/>
                <w:color w:val="FFFFFF"/>
                <w:sz w:val="20"/>
              </w:rPr>
              <w:t>Recomendación</w:t>
            </w:r>
          </w:p>
        </w:tc>
        <w:tc>
          <w:tcPr>
            <w:tcW w:type="dxa" w:w="2353"/>
            <w:shd w:val="clear" w:color="auto" w:fill="0F5F6B"/>
          </w:tcPr>
          <w:p>
            <w:r/>
            <w:r>
              <w:rPr>
                <w:b/>
                <w:color w:val="FFFFFF"/>
                <w:sz w:val="20"/>
              </w:rPr>
              <w:t>Fuerza o certeza</w:t>
            </w:r>
          </w:p>
        </w:tc>
      </w:tr>
      <w:tr>
        <w:tc>
          <w:tcPr>
            <w:tcW w:type="dxa" w:w="2353"/>
          </w:tcPr>
          <w:p>
            <w:r/>
            <w:r>
              <w:rPr>
                <w:sz w:val="20"/>
              </w:rPr>
              <w:t>AAOS 2021</w:t>
            </w:r>
          </w:p>
        </w:tc>
        <w:tc>
          <w:tcPr>
            <w:tcW w:type="dxa" w:w="2353"/>
          </w:tcPr>
          <w:p>
            <w:r/>
            <w:r>
              <w:rPr>
                <w:sz w:val="20"/>
              </w:rPr>
              <w:t>Intertrocantérica estable</w:t>
            </w:r>
          </w:p>
        </w:tc>
        <w:tc>
          <w:tcPr>
            <w:tcW w:type="dxa" w:w="2353"/>
          </w:tcPr>
          <w:p>
            <w:r/>
            <w:r>
              <w:rPr>
                <w:sz w:val="20"/>
              </w:rPr>
              <w:t>Tornillo deslizante o dispositivo cefalomedular [r6]</w:t>
            </w:r>
          </w:p>
        </w:tc>
        <w:tc>
          <w:tcPr>
            <w:tcW w:type="dxa" w:w="2353"/>
          </w:tcPr>
          <w:p>
            <w:r/>
            <w:r>
              <w:rPr>
                <w:sz w:val="20"/>
              </w:rPr>
              <w:t>Calidad de evidencia alta, recomendación fuerte</w:t>
            </w:r>
          </w:p>
        </w:tc>
      </w:tr>
      <w:tr>
        <w:tc>
          <w:tcPr>
            <w:tcW w:type="dxa" w:w="2353"/>
            <w:shd w:val="clear" w:color="auto" w:fill="EEF3F4"/>
          </w:tcPr>
          <w:p>
            <w:r/>
            <w:r>
              <w:rPr>
                <w:sz w:val="20"/>
              </w:rPr>
              <w:t>AAOS 2021</w:t>
            </w:r>
          </w:p>
        </w:tc>
        <w:tc>
          <w:tcPr>
            <w:tcW w:type="dxa" w:w="2353"/>
            <w:shd w:val="clear" w:color="auto" w:fill="EEF3F4"/>
          </w:tcPr>
          <w:p>
            <w:r/>
            <w:r>
              <w:rPr>
                <w:sz w:val="20"/>
              </w:rPr>
              <w:t>Subtrocantérica u oblicuidad inversa</w:t>
            </w:r>
          </w:p>
        </w:tc>
        <w:tc>
          <w:tcPr>
            <w:tcW w:type="dxa" w:w="2353"/>
            <w:shd w:val="clear" w:color="auto" w:fill="EEF3F4"/>
          </w:tcPr>
          <w:p>
            <w:r/>
            <w:r>
              <w:rPr>
                <w:sz w:val="20"/>
              </w:rPr>
              <w:t>Dispositivo cefalomedular [r6]</w:t>
            </w:r>
          </w:p>
        </w:tc>
        <w:tc>
          <w:tcPr>
            <w:tcW w:type="dxa" w:w="2353"/>
            <w:shd w:val="clear" w:color="auto" w:fill="EEF3F4"/>
          </w:tcPr>
          <w:p>
            <w:r/>
            <w:r>
              <w:rPr>
                <w:sz w:val="20"/>
              </w:rPr>
              <w:t>Calidad de evidencia alta, recomendación fuerte</w:t>
            </w:r>
          </w:p>
        </w:tc>
      </w:tr>
      <w:tr>
        <w:tc>
          <w:tcPr>
            <w:tcW w:type="dxa" w:w="2353"/>
          </w:tcPr>
          <w:p>
            <w:r/>
            <w:r>
              <w:rPr>
                <w:sz w:val="20"/>
              </w:rPr>
              <w:t>AAOS 2021</w:t>
            </w:r>
          </w:p>
        </w:tc>
        <w:tc>
          <w:tcPr>
            <w:tcW w:type="dxa" w:w="2353"/>
          </w:tcPr>
          <w:p>
            <w:r/>
            <w:r>
              <w:rPr>
                <w:sz w:val="20"/>
              </w:rPr>
              <w:t>Intertrocantérica inestable</w:t>
            </w:r>
          </w:p>
        </w:tc>
        <w:tc>
          <w:tcPr>
            <w:tcW w:type="dxa" w:w="2353"/>
          </w:tcPr>
          <w:p>
            <w:r/>
            <w:r>
              <w:rPr>
                <w:sz w:val="20"/>
              </w:rPr>
              <w:t>Dispositivo cefalomedular [r6]</w:t>
            </w:r>
          </w:p>
        </w:tc>
        <w:tc>
          <w:tcPr>
            <w:tcW w:type="dxa" w:w="2353"/>
          </w:tcPr>
          <w:p>
            <w:r/>
            <w:r>
              <w:rPr>
                <w:sz w:val="20"/>
              </w:rPr>
              <w:t>Calidad de evidencia alta, recomendación fuerte</w:t>
            </w:r>
          </w:p>
        </w:tc>
      </w:tr>
      <w:tr>
        <w:tc>
          <w:tcPr>
            <w:tcW w:type="dxa" w:w="2353"/>
            <w:shd w:val="clear" w:color="auto" w:fill="EEF3F4"/>
          </w:tcPr>
          <w:p>
            <w:r/>
            <w:r>
              <w:rPr>
                <w:sz w:val="20"/>
              </w:rPr>
              <w:t>NICE CG124 (actualizada 2023)</w:t>
            </w:r>
          </w:p>
        </w:tc>
        <w:tc>
          <w:tcPr>
            <w:tcW w:type="dxa" w:w="2353"/>
            <w:shd w:val="clear" w:color="auto" w:fill="EEF3F4"/>
          </w:tcPr>
          <w:p>
            <w:r/>
            <w:r>
              <w:rPr>
                <w:sz w:val="20"/>
              </w:rPr>
              <w:t>Trocantérica hasta el trocánter menor, excepto oblicuidad inversa</w:t>
            </w:r>
          </w:p>
        </w:tc>
        <w:tc>
          <w:tcPr>
            <w:tcW w:type="dxa" w:w="2353"/>
            <w:shd w:val="clear" w:color="auto" w:fill="EEF3F4"/>
          </w:tcPr>
          <w:p>
            <w:r/>
            <w:r>
              <w:rPr>
                <w:sz w:val="20"/>
              </w:rPr>
              <w:t>Implante extramedular como el tornillo deslizante, de preferencia al clavo [r29]</w:t>
            </w:r>
          </w:p>
        </w:tc>
        <w:tc>
          <w:tcPr>
            <w:tcW w:type="dxa" w:w="2353"/>
            <w:shd w:val="clear" w:color="auto" w:fill="EEF3F4"/>
          </w:tcPr>
          <w:p>
            <w:r/>
            <w:r>
              <w:rPr>
                <w:sz w:val="20"/>
              </w:rPr>
              <w:t>Recomendación 1.6.9</w:t>
            </w:r>
          </w:p>
        </w:tc>
      </w:tr>
      <w:tr>
        <w:tc>
          <w:tcPr>
            <w:tcW w:type="dxa" w:w="2353"/>
          </w:tcPr>
          <w:p>
            <w:r/>
            <w:r>
              <w:rPr>
                <w:sz w:val="20"/>
              </w:rPr>
              <w:t>NICE CG124 (actualizada 2023)</w:t>
            </w:r>
          </w:p>
        </w:tc>
        <w:tc>
          <w:tcPr>
            <w:tcW w:type="dxa" w:w="2353"/>
          </w:tcPr>
          <w:p>
            <w:r/>
            <w:r>
              <w:rPr>
                <w:sz w:val="20"/>
              </w:rPr>
              <w:t>Subtrocantérica</w:t>
            </w:r>
          </w:p>
        </w:tc>
        <w:tc>
          <w:tcPr>
            <w:tcW w:type="dxa" w:w="2353"/>
          </w:tcPr>
          <w:p>
            <w:r/>
            <w:r>
              <w:rPr>
                <w:sz w:val="20"/>
              </w:rPr>
              <w:t>Clavo intramedular [r29]</w:t>
            </w:r>
          </w:p>
        </w:tc>
        <w:tc>
          <w:tcPr>
            <w:tcW w:type="dxa" w:w="2353"/>
          </w:tcPr>
          <w:p>
            <w:r/>
            <w:r>
              <w:rPr>
                <w:sz w:val="20"/>
              </w:rPr>
              <w:t>Recomendación 1.6.10</w:t>
            </w:r>
          </w:p>
        </w:tc>
      </w:tr>
    </w:tbl>
    <w:p/>
    <w:p>
      <w:pPr>
        <w:keepNext/>
      </w:pPr>
      <w:r>
        <w:rPr>
          <w:b/>
          <w:color w:val="0F5F6B"/>
          <w:sz w:val="20"/>
        </w:rPr>
        <w:t>Referencias de este bloque</w:t>
      </w:r>
    </w:p>
    <w:p>
      <w:pPr>
        <w:spacing w:after="60"/>
        <w:ind w:left="510" w:hanging="510"/>
      </w:pPr>
      <w:r>
        <w:rPr>
          <w:b/>
          <w:sz w:val="18"/>
        </w:rPr>
        <w:t xml:space="preserve">[r6] </w:t>
      </w:r>
      <w:r>
        <w:rPr>
          <w:sz w:val="18"/>
        </w:rPr>
        <w:t xml:space="preserve">American Academy of Orthopaedic Surgeons. Management of Hip Fractures in Older Adults: Evidence-Based Clinical Practice Guideline [Internet]. Rosemont (IL): AAOS; 2021 dic 3 [consultado 2026 oct 12]. Disponible en: https://www.aaos.org/hipfxcpg </w:t>
      </w:r>
      <w:r>
        <w:rPr>
          <w:i/>
          <w:color w:val="5A6469"/>
          <w:sz w:val="17"/>
        </w:rPr>
        <w:t xml:space="preserve">(guia · acceso abierto) </w:t>
      </w:r>
      <w:hyperlink r:id="rId30">
        <w:r>
          <w:rPr>
            <w:color w:val="0563C1"/>
            <w:u w:val="single"/>
            <w:sz w:val="18"/>
          </w:rPr>
          <w:t xml:space="preserve">https://www.aaos.org/hipfxcpg</w:t>
        </w:r>
      </w:hyperlink>
    </w:p>
    <w:p>
      <w:pPr>
        <w:spacing w:after="60"/>
        <w:ind w:left="510" w:hanging="510"/>
      </w:pPr>
      <w:r>
        <w:rPr>
          <w:b/>
          <w:sz w:val="18"/>
        </w:rPr>
        <w:t xml:space="preserve">[r29] </w:t>
      </w:r>
      <w:r>
        <w:rPr>
          <w:sz w:val="18"/>
        </w:rPr>
        <w:t xml:space="preserve">National Institute for Health and Care Excellence. Hip fracture: management (NICE guideline CG124) [Internet]. Londres: NICE; 2011 [actualizada 2023 ene 6; consultado 2026 oct 12]. Disponible en: https://www.nice.org.uk/guidance/cg124 </w:t>
      </w:r>
      <w:r>
        <w:rPr>
          <w:i/>
          <w:color w:val="5A6469"/>
          <w:sz w:val="17"/>
        </w:rPr>
        <w:t xml:space="preserve">(guia · acceso abierto) </w:t>
      </w:r>
      <w:hyperlink r:id="rId32">
        <w:r>
          <w:rPr>
            <w:color w:val="0563C1"/>
            <w:u w:val="single"/>
            <w:sz w:val="18"/>
          </w:rPr>
          <w:t xml:space="preserve">https://www.nice.org.uk/guidance/cg124/chapter/Recommendations</w:t>
        </w:r>
      </w:hyperlink>
    </w:p>
    <w:p>
      <w:pPr>
        <w:pStyle w:val="Heading1"/>
      </w:pPr>
      <w:r>
        <w:t>Perlas y trampas</w:t>
      </w:r>
    </w:p>
    <w:p>
      <w:pPr>
        <w:pStyle w:val="Heading2"/>
      </w:pPr>
      <w:r>
        <w:t>Perlas</w:t>
      </w:r>
    </w:p>
    <w:p>
      <w:pPr>
        <w:pStyle w:val="ListBullet"/>
      </w:pPr>
      <w:r>
        <w:rPr/>
        <w:t>Ligar no condena al hueso: en 6 cadáveres, ligar los vasos del tabique por vía subvasta lateral no alteró la perfusión medular ni la perióstica, porque la red anastomótica compensó, siempre que no se liguen pegados al tabique ni se exponga la línea áspera de más [r9]. Es un hallazgo de cadáver, no un desenlace clínico.</w:t>
      </w:r>
    </w:p>
    <w:p>
      <w:pPr>
        <w:pStyle w:val="ListBullet"/>
      </w:pPr>
      <w:r>
        <w:rPr/>
        <w:t>En los 8-10 cm distales del fémur el vasto lateral casi no tiene fibras [r10]: en esa zona hay poco músculo que elevar.</w:t>
      </w:r>
    </w:p>
    <w:p>
      <w:pPr>
        <w:pStyle w:val="ListBullet"/>
      </w:pPr>
      <w:r>
        <w:rPr/>
        <w:t>Para los tornillos percutáneos, una incisión de 1,0-1,5 cm de ancho sirve casi siempre; quedarse corto es el fallo más repetido [r20].</w:t>
      </w:r>
    </w:p>
    <w:p>
      <w:pPr>
        <w:pStyle w:val="ListBullet"/>
      </w:pPr>
      <w:r>
        <w:rPr/>
        <w:t>Para saber dónde empieza la incisión en cadera, apoya una aguja sobre la cara anterior de la cadera, mírala con el intensificador y marca en la piel su proyección [r14].</w:t>
      </w:r>
    </w:p>
    <w:p>
      <w:pPr>
        <w:pStyle w:val="ListBullet"/>
      </w:pPr>
      <w:r>
        <w:rPr/>
        <w:t>Una perforación de 4,5 mm en la cortical lateral deja corregir la guía del cuello sin que se quede atrapada, y varios intentos de entrada debilitan esa cortical [r15].</w:t>
      </w:r>
    </w:p>
    <w:p>
      <w:pPr>
        <w:pStyle w:val="ListBullet"/>
      </w:pPr>
      <w:r>
        <w:rPr/>
        <w:t>En una serie de 36 fracturas de diáfisis con MIPO hubo tornillos rotos en 3 casos, todos fijados con tres tornillos agrupados; los autores aconsejan al menos 3 tornillos separados por fragmento [r13].</w:t>
      </w:r>
    </w:p>
    <w:p>
      <w:pPr>
        <w:pStyle w:val="Heading2"/>
      </w:pPr>
      <w:r>
        <w:t>Trampas</w:t>
      </w:r>
    </w:p>
    <w:p>
      <w:pPr>
        <w:pStyle w:val="ListBullet"/>
      </w:pPr>
      <w:r>
        <w:rPr/>
        <w:t>Buscar una zona segura para las perforantes: no existe entre 14,0 y 36,5 cm desde la espina ilíaca anterosuperior [r2].</w:t>
      </w:r>
    </w:p>
    <w:p>
      <w:pPr>
        <w:pStyle w:val="ListBullet"/>
      </w:pPr>
      <w:r>
        <w:rPr/>
        <w:t>Dar por hecho que MIPO siempre es mejor: en diáfisis la placa submuscular no mostró ventaja clara y se asoció a muchas reducciones subóptimas (6 de 21) [r4].</w:t>
      </w:r>
    </w:p>
    <w:p>
      <w:pPr>
        <w:pStyle w:val="ListBullet"/>
      </w:pPr>
      <w:r>
        <w:rPr/>
        <w:t>Taladrar sin cuidado a través de los orificios 3 y 4 de la placa: ahí queda cerca la arteria femoral profunda [r16], y se han descrito hematoma masivo y pseudoaneurisma por presión de Hohmann o por taladrado [r21].</w:t>
      </w:r>
    </w:p>
    <w:p>
      <w:pPr>
        <w:pStyle w:val="ListBullet"/>
      </w:pPr>
      <w:r>
        <w:rPr/>
        <w:t>Usar el tornillo deslizante solo con pared lateral fina: con menos de 20,5 mm no debe tratarse solo con DHS [r22].</w:t>
      </w:r>
    </w:p>
    <w:p>
      <w:pPr>
        <w:pStyle w:val="ListBullet"/>
      </w:pPr>
      <w:r>
        <w:rPr/>
        <w:t>Poner tornillo deslizante en oblicuidad inversa: falló en 9 de 16 casos frente a 2 de 15 con placa en ángulo [r23]; la AAOS recomienda dispositivo cefalomedular [r6].</w:t>
      </w:r>
    </w:p>
    <w:p>
      <w:pPr>
        <w:pStyle w:val="ListBullet"/>
      </w:pPr>
      <w:r>
        <w:rPr/>
        <w:t>Dejar el poste perineal sin acolchar: en la revisión hubo necrosis escrotal en 8 pacientes y vulvar en 3 [r17].</w:t>
      </w:r>
    </w:p>
    <w:p>
      <w:pPr>
        <w:pStyle w:val="ListBullet"/>
      </w:pPr>
      <w:r>
        <w:rPr/>
        <w:t>Aplicar una cifra de fémur distal a la diáfisis: en un metaanálisis la consolidación fue 93,7 % en diáfisis y 86,6 % en distal [r24].</w:t>
      </w:r>
    </w:p>
    <w:p>
      <w:pPr>
        <w:pStyle w:val="Heading1"/>
      </w:pPr>
      <w:r>
        <w:t>Preguntas de autoevaluación</w:t>
      </w:r>
    </w:p>
    <w:p>
      <w:pPr>
        <w:keepNext/>
      </w:pPr>
      <w:r>
        <w:rPr>
          <w:b/>
        </w:rPr>
        <w:t>1. Al elevar el vasto lateral del tabique intermuscular lateral en la diáfisis, ¿qué estructura debes identificar y tratar antes de que se desgarre?</w:t>
      </w:r>
    </w:p>
    <w:p>
      <w:pPr>
        <w:spacing w:after="20"/>
        <w:ind w:left="454"/>
      </w:pPr>
      <w:r>
        <w:t>a) Las perforantes de la femoral profunda: se ligan las grandes y se coagulan las pequeñas</w:t>
      </w:r>
    </w:p>
    <w:p>
      <w:pPr>
        <w:spacing w:after="20"/>
        <w:ind w:left="454"/>
      </w:pPr>
      <w:r>
        <w:t>b) El nervio ciático, que cruza el tabique de lateral a medial</w:t>
      </w:r>
    </w:p>
    <w:p>
      <w:pPr>
        <w:spacing w:after="20"/>
        <w:ind w:left="454"/>
      </w:pPr>
      <w:r>
        <w:t>c) La vena safena mayor, que corre bajo la fascia lata</w:t>
      </w:r>
    </w:p>
    <w:p>
      <w:pPr>
        <w:spacing w:after="20"/>
        <w:ind w:left="454"/>
      </w:pPr>
      <w:r>
        <w:t>d) El nervio femoral, que sale por el tabique</w:t>
      </w:r>
    </w:p>
    <w:p>
      <w:r>
        <w:rPr>
          <w:b/>
        </w:rPr>
        <w:t xml:space="preserve">Respuesta: a. </w:t>
      </w:r>
      <w:r>
        <w:rPr/>
        <w:t>Las perforantes atraviesan el tabique desde atrás y corren pegadas al hueso; las grandes se ligan y las pequeñas se coagulan [r1]. Si se desgarran cerca del tabique, el cabo posterior se retrae y sangra de forma oculta [r1].</w:t>
      </w:r>
    </w:p>
    <w:p>
      <w:pPr>
        <w:keepNext/>
      </w:pPr>
      <w:r>
        <w:rPr>
          <w:b/>
        </w:rPr>
        <w:t>2. ¿Existe una zona segura en la diáfisis donde las perforantes no pasen cerca del hueso?</w:t>
      </w:r>
    </w:p>
    <w:p>
      <w:pPr>
        <w:spacing w:after="20"/>
        <w:ind w:left="454"/>
      </w:pPr>
      <w:r>
        <w:t>a) Sí: el tercio medio de la diáfisis</w:t>
      </w:r>
    </w:p>
    <w:p>
      <w:pPr>
        <w:spacing w:after="20"/>
        <w:ind w:left="454"/>
      </w:pPr>
      <w:r>
        <w:t>b) Sí: justo bajo el trocánter menor</w:t>
      </w:r>
    </w:p>
    <w:p>
      <w:pPr>
        <w:spacing w:after="20"/>
        <w:ind w:left="454"/>
      </w:pPr>
      <w:r>
        <w:t>c) No: pasaron a todos los niveles entre 14,0 y 36,5 cm desde la espina ilíaca anterosuperior</w:t>
      </w:r>
    </w:p>
    <w:p>
      <w:pPr>
        <w:spacing w:after="20"/>
        <w:ind w:left="454"/>
      </w:pPr>
      <w:r>
        <w:t>d) Solo en mujeres</w:t>
      </w:r>
    </w:p>
    <w:p>
      <w:r>
        <w:rPr>
          <w:b/>
        </w:rPr>
        <w:t xml:space="preserve">Respuesta: c. </w:t>
      </w:r>
      <w:r>
        <w:rPr/>
        <w:t>En 200 piernas disecadas hubo de 2 a 7 perforantes por pierna y no se identificó ninguna zona segura entre 14,0 y 36,5 cm (16-39 % de la longitud de la pierna) [r2]. Tampoco hubo diferencias por sexo ni lado en el número de perforantes [r2].</w:t>
      </w:r>
    </w:p>
    <w:p>
      <w:pPr>
        <w:keepNext/>
      </w:pPr>
      <w:r>
        <w:rPr>
          <w:b/>
        </w:rPr>
        <w:t>3. En un estudio de cadáver, ¿qué efecto tuvo ligar los vasos del tabique por vía subvasta lateral sobre la perfusión del fémur?</w:t>
      </w:r>
    </w:p>
    <w:p>
      <w:pPr>
        <w:spacing w:after="20"/>
        <w:ind w:left="454"/>
      </w:pPr>
      <w:r>
        <w:t>a) Abolió la perfusión medular</w:t>
      </w:r>
    </w:p>
    <w:p>
      <w:pPr>
        <w:spacing w:after="20"/>
        <w:ind w:left="454"/>
      </w:pPr>
      <w:r>
        <w:t>b) No alteró la perfusión medular ni la perióstica, gracias a la red anastomótica</w:t>
      </w:r>
    </w:p>
    <w:p>
      <w:pPr>
        <w:spacing w:after="20"/>
        <w:ind w:left="454"/>
      </w:pPr>
      <w:r>
        <w:t>c) Duplicó la perfusión perióstica</w:t>
      </w:r>
    </w:p>
    <w:p>
      <w:pPr>
        <w:spacing w:after="20"/>
        <w:ind w:left="454"/>
      </w:pPr>
      <w:r>
        <w:t>d) Aumentó la perfusión solo en la cara medial</w:t>
      </w:r>
    </w:p>
    <w:p>
      <w:r>
        <w:rPr>
          <w:b/>
        </w:rPr>
        <w:t xml:space="preserve">Respuesta: b. </w:t>
      </w:r>
      <w:r>
        <w:rPr/>
        <w:t>En 6 cadáveres no hubo cambio en la perfusión medular ni en la perióstica; la compensación depende de no ligar pegado al tabique ni exponer la línea áspera de más [r9]. Es un hallazgo de cadáver: no mide consolidación clínica.</w:t>
      </w:r>
    </w:p>
    <w:p>
      <w:pPr>
        <w:keepNext/>
      </w:pPr>
      <w:r>
        <w:rPr>
          <w:b/>
        </w:rPr>
        <w:t>4. En la serie de Baumgaertner, ¿qué distancia punta-ápex se asoció a ninguna salida del tornillo?</w:t>
      </w:r>
    </w:p>
    <w:p>
      <w:pPr>
        <w:spacing w:after="20"/>
        <w:ind w:left="454"/>
      </w:pPr>
      <w:r>
        <w:t>a) 25 mm o menos</w:t>
      </w:r>
    </w:p>
    <w:p>
      <w:pPr>
        <w:spacing w:after="20"/>
        <w:ind w:left="454"/>
      </w:pPr>
      <w:r>
        <w:t>b) 35 mm o menos</w:t>
      </w:r>
    </w:p>
    <w:p>
      <w:pPr>
        <w:spacing w:after="20"/>
        <w:ind w:left="454"/>
      </w:pPr>
      <w:r>
        <w:t>c) 45 mm o más</w:t>
      </w:r>
    </w:p>
    <w:p>
      <w:pPr>
        <w:spacing w:after="20"/>
        <w:ind w:left="454"/>
      </w:pPr>
      <w:r>
        <w:t>d) No hubo relación con la distancia</w:t>
      </w:r>
    </w:p>
    <w:p>
      <w:r>
        <w:rPr>
          <w:b/>
        </w:rPr>
        <w:t xml:space="preserve">Respuesta: a. </w:t>
      </w:r>
      <w:r>
        <w:rPr/>
        <w:t>Ninguno de 120 tornillos con distancia punta-ápex de 25 mm o menos se salió [r7]. Una revisión sistemática halló RR 12,71 de salida con TAD mayor de 25 mm [r45]. Un estudio de 2025 añadió que con TAD menor de 10 mm hubo más penetración central [r40].</w:t>
      </w:r>
    </w:p>
    <w:p>
      <w:pPr>
        <w:keepNext/>
      </w:pPr>
      <w:r>
        <w:rPr>
          <w:b/>
        </w:rPr>
        <w:t>5. Para una fractura subtrocantérica o de oblicuidad inversa, ¿qué recomienda la guía AAOS 2021?</w:t>
      </w:r>
    </w:p>
    <w:p>
      <w:pPr>
        <w:spacing w:after="20"/>
        <w:ind w:left="454"/>
      </w:pPr>
      <w:r>
        <w:t>a) Tornillo deslizante con placa corta</w:t>
      </w:r>
    </w:p>
    <w:p>
      <w:pPr>
        <w:spacing w:after="20"/>
        <w:ind w:left="454"/>
      </w:pPr>
      <w:r>
        <w:t>b) Dispositivo cefalomedular, recomendación fuerte</w:t>
      </w:r>
    </w:p>
    <w:p>
      <w:pPr>
        <w:spacing w:after="20"/>
        <w:ind w:left="454"/>
      </w:pPr>
      <w:r>
        <w:t>c) Tratamiento conservador</w:t>
      </w:r>
    </w:p>
    <w:p>
      <w:pPr>
        <w:spacing w:after="20"/>
        <w:ind w:left="454"/>
      </w:pPr>
      <w:r>
        <w:t>d) Placa en ángulo de 95° siempre</w:t>
      </w:r>
    </w:p>
    <w:p>
      <w:r>
        <w:rPr>
          <w:b/>
        </w:rPr>
        <w:t xml:space="preserve">Respuesta: b. </w:t>
      </w:r>
      <w:r>
        <w:rPr/>
        <w:t>La AAOS recomienda dispositivo cefalomedular en subtrocantéricas y oblicuidad inversa, con calidad de evidencia alta y recomendación fuerte [r6]. En oblicuidad inversa el tornillo deslizante falló en 9 de 16 casos [r23].</w:t>
      </w:r>
    </w:p>
    <w:p>
      <w:pPr>
        <w:keepNext/>
      </w:pPr>
      <w:r>
        <w:rPr>
          <w:b/>
        </w:rPr>
        <w:t>6. Según NICE CG124, ¿qué implante se prefiere en fracturas trocantéricas hasta el trocánter menor, excepto oblicuidad inversa?</w:t>
      </w:r>
    </w:p>
    <w:p>
      <w:pPr>
        <w:spacing w:after="20"/>
        <w:ind w:left="454"/>
      </w:pPr>
      <w:r>
        <w:t>a) Implante extramedular como el tornillo deslizante</w:t>
      </w:r>
    </w:p>
    <w:p>
      <w:pPr>
        <w:spacing w:after="20"/>
        <w:ind w:left="454"/>
      </w:pPr>
      <w:r>
        <w:t>b) Clavo intramedular siempre</w:t>
      </w:r>
    </w:p>
    <w:p>
      <w:pPr>
        <w:spacing w:after="20"/>
        <w:ind w:left="454"/>
      </w:pPr>
      <w:r>
        <w:t>c) Hemiartroplastia</w:t>
      </w:r>
    </w:p>
    <w:p>
      <w:pPr>
        <w:spacing w:after="20"/>
        <w:ind w:left="454"/>
      </w:pPr>
      <w:r>
        <w:t>d) Fijación externa</w:t>
      </w:r>
    </w:p>
    <w:p>
      <w:r>
        <w:rPr>
          <w:b/>
        </w:rPr>
        <w:t xml:space="preserve">Respuesta: a. </w:t>
      </w:r>
      <w:r>
        <w:rPr/>
        <w:t>NICE recomienda implantes extramedulares como el tornillo deslizante de preferencia al clavo en estas fracturas, y clavo intramedular en las subtrocantéricas [r29].</w:t>
      </w:r>
    </w:p>
    <w:p>
      <w:pPr>
        <w:keepNext/>
      </w:pPr>
      <w:r>
        <w:rPr>
          <w:b/>
        </w:rPr>
        <w:t>7. En la revisión Cochrane 2022 de clavos cefalomedulares frente a implantes extramedulares, ¿qué afirmación es correcta?</w:t>
      </w:r>
    </w:p>
    <w:p>
      <w:pPr>
        <w:spacing w:after="20"/>
        <w:ind w:left="454"/>
      </w:pPr>
      <w:r>
        <w:t>a) Clavo: menos no unión (RR 0,55) pero más fracturas intraoperatorias por el implante (RR 2,94)</w:t>
      </w:r>
    </w:p>
    <w:p>
      <w:pPr>
        <w:spacing w:after="20"/>
        <w:ind w:left="454"/>
      </w:pPr>
      <w:r>
        <w:t>b) Clavo: más infección superficial y menos fracturas por el implante</w:t>
      </w:r>
    </w:p>
    <w:p>
      <w:pPr>
        <w:spacing w:after="20"/>
        <w:ind w:left="454"/>
      </w:pPr>
      <w:r>
        <w:t>c) No hubo ninguna diferencia en ninguna complicación</w:t>
      </w:r>
    </w:p>
    <w:p>
      <w:pPr>
        <w:spacing w:after="20"/>
        <w:ind w:left="454"/>
      </w:pPr>
      <w:r>
        <w:t>d) El tornillo deslizante redujo la mortalidad a 4 meses</w:t>
      </w:r>
    </w:p>
    <w:p>
      <w:r>
        <w:rPr>
          <w:b/>
        </w:rPr>
        <w:t xml:space="preserve">Respuesta: a. </w:t>
      </w:r>
      <w:r>
        <w:rPr/>
        <w:t>El clavo se asoció a menos no unión (RR 0,55) [r12], menos infección superficial (RR 0,71) [r12] y más fracturas intraoperatorias relacionadas con el implante (RR 2,94) [r12]. La mortalidad a 4 meses no difirió (RR 0,96) [r12].</w:t>
      </w:r>
    </w:p>
    <w:p>
      <w:pPr>
        <w:keepNext/>
      </w:pPr>
      <w:r>
        <w:rPr>
          <w:b/>
        </w:rPr>
        <w:t>8. Tras MIPO en el fémur distal, ¿qué parámetro fue el más difícil de lograr en la TC de 51 pacientes?</w:t>
      </w:r>
    </w:p>
    <w:p>
      <w:pPr>
        <w:spacing w:after="20"/>
        <w:ind w:left="454"/>
      </w:pPr>
      <w:r>
        <w:t>a) La alineación coronal</w:t>
      </w:r>
    </w:p>
    <w:p>
      <w:pPr>
        <w:spacing w:after="20"/>
        <w:ind w:left="454"/>
      </w:pPr>
      <w:r>
        <w:t>b) La alineación sagital</w:t>
      </w:r>
    </w:p>
    <w:p>
      <w:pPr>
        <w:spacing w:after="20"/>
        <w:ind w:left="454"/>
      </w:pPr>
      <w:r>
        <w:t>c) La rotación</w:t>
      </w:r>
    </w:p>
    <w:p>
      <w:pPr>
        <w:spacing w:after="20"/>
        <w:ind w:left="454"/>
      </w:pPr>
      <w:r>
        <w:t>d) La longitud en todos los casos</w:t>
      </w:r>
    </w:p>
    <w:p>
      <w:r>
        <w:rPr>
          <w:b/>
        </w:rPr>
        <w:t xml:space="preserve">Respuesta: c. </w:t>
      </w:r>
      <w:r>
        <w:rPr/>
        <w:t>La rotación fue satisfactoria en 56,9 % frente a 96,2 % en el plano coronal y 98 % en el sagital [r5]. En otro estudio pequeño, la diferencia media de rotación fue 14,3° con MIPO y 5,2° con ORIF [r11].</w:t>
      </w:r>
    </w:p>
    <w:p>
      <w:pPr>
        <w:keepNext/>
      </w:pPr>
      <w:r>
        <w:rPr>
          <w:b/>
        </w:rPr>
        <w:t>9. Una fractura intertrocantérica se trata con DHS y la pared lateral mide menos de 20,5 mm. ¿Qué concluyeron Hsu y colaboradores?</w:t>
      </w:r>
    </w:p>
    <w:p>
      <w:pPr>
        <w:spacing w:after="20"/>
        <w:ind w:left="454"/>
      </w:pPr>
      <w:r>
        <w:t>a) Que es la situación ideal para DHS</w:t>
      </w:r>
    </w:p>
    <w:p>
      <w:pPr>
        <w:spacing w:after="20"/>
        <w:ind w:left="454"/>
      </w:pPr>
      <w:r>
        <w:t>b) Que no debe tratarse solo con DHS</w:t>
      </w:r>
    </w:p>
    <w:p>
      <w:pPr>
        <w:spacing w:after="20"/>
        <w:ind w:left="454"/>
      </w:pPr>
      <w:r>
        <w:t>c) Que el grosor de la pared no importa</w:t>
      </w:r>
    </w:p>
    <w:p>
      <w:pPr>
        <w:spacing w:after="20"/>
        <w:ind w:left="454"/>
      </w:pPr>
      <w:r>
        <w:t>d) Que se debe esperar 6 semanas para operar</w:t>
      </w:r>
    </w:p>
    <w:p>
      <w:r>
        <w:rPr>
          <w:b/>
        </w:rPr>
        <w:t xml:space="preserve">Respuesta: b. </w:t>
      </w:r>
      <w:r>
        <w:rPr/>
        <w:t>En 208 pacientes con DHS, el umbral de grosor de pared lateral fue 20,5 mm y los autores concluyeron que con menos no debe usarse DHS solo [r22].</w:t>
      </w:r>
    </w:p>
    <w:p>
      <w:pPr>
        <w:keepNext/>
      </w:pPr>
      <w:r>
        <w:rPr>
          <w:b/>
        </w:rPr>
        <w:t>10. ¿Qué precaución se asocia al poste perineal de la mesa de tracción?</w:t>
      </w:r>
    </w:p>
    <w:p>
      <w:pPr>
        <w:spacing w:after="20"/>
        <w:ind w:left="454"/>
      </w:pPr>
      <w:r>
        <w:t>a) Acolchado obligatorio y examen de la piel perineal</w:t>
      </w:r>
    </w:p>
    <w:p>
      <w:pPr>
        <w:spacing w:after="20"/>
        <w:ind w:left="454"/>
      </w:pPr>
      <w:r>
        <w:t>b) Ninguna, no hay complicaciones descritas</w:t>
      </w:r>
    </w:p>
    <w:p>
      <w:pPr>
        <w:spacing w:after="20"/>
        <w:ind w:left="454"/>
      </w:pPr>
      <w:r>
        <w:t>c) Usarlo siempre sin acolchar para fijar la pelvis</w:t>
      </w:r>
    </w:p>
    <w:p>
      <w:pPr>
        <w:spacing w:after="20"/>
        <w:ind w:left="454"/>
      </w:pPr>
      <w:r>
        <w:t>d) Sustituirlo siempre por tracción manual</w:t>
      </w:r>
    </w:p>
    <w:p>
      <w:r>
        <w:rPr>
          <w:b/>
        </w:rPr>
        <w:t xml:space="preserve">Respuesta: a. </w:t>
      </w:r>
      <w:r>
        <w:rPr/>
        <w:t>Una revisión de 351 pacientes halló lesión de partes blandas perineales en 11 (3,0 %) y concluyó que el acolchado del poste es obligatorio [r17].</w:t>
      </w:r>
    </w:p>
    <w:p>
      <w:pPr>
        <w:keepNext/>
      </w:pPr>
      <w:r>
        <w:rPr>
          <w:b/>
        </w:rPr>
        <w:t>11. ¿Cuál de estos estudios mide perfusión en cadáver y no consolidación clínica?</w:t>
      </w:r>
    </w:p>
    <w:p>
      <w:pPr>
        <w:spacing w:after="20"/>
        <w:ind w:left="454"/>
      </w:pPr>
      <w:r>
        <w:t>a) Farouk y colaboradores, con 10 cadáveres</w:t>
      </w:r>
    </w:p>
    <w:p>
      <w:pPr>
        <w:spacing w:after="20"/>
        <w:ind w:left="454"/>
      </w:pPr>
      <w:r>
        <w:t>b) Zlowodzki y colaboradores, con 40 fracturas</w:t>
      </w:r>
    </w:p>
    <w:p>
      <w:pPr>
        <w:spacing w:after="20"/>
        <w:ind w:left="454"/>
      </w:pPr>
      <w:r>
        <w:t>c) Kregor y colaboradores, con 103 fracturas</w:t>
      </w:r>
    </w:p>
    <w:p>
      <w:pPr>
        <w:spacing w:after="20"/>
        <w:ind w:left="454"/>
      </w:pPr>
      <w:r>
        <w:t>d) Papakostidis y colaboradores, con 19 estudios</w:t>
      </w:r>
    </w:p>
    <w:p>
      <w:r>
        <w:rPr>
          <w:b/>
        </w:rPr>
        <w:t xml:space="preserve">Respuesta: a. </w:t>
      </w:r>
      <w:r>
        <w:rPr/>
        <w:t>Farouk estudió la perfusión en 10 cadáveres frescos y halló perforantes intactas en el lado MIPO [r3]. La clínica en 40 fracturas de diáfisis con placa no mostró una ventaja clara de la técnica submuscular [r4].</w:t>
      </w:r>
    </w:p>
    <w:p>
      <w:pPr>
        <w:keepNext/>
      </w:pPr>
      <w:r>
        <w:rPr>
          <w:b/>
        </w:rPr>
        <w:t>12. En 44 angiografías por TC, ¿dónde estuvo más cerca de la cortical medial la arteria femoral profunda y con qué orificios de una placa lateral coincidió?</w:t>
      </w:r>
    </w:p>
    <w:p>
      <w:pPr>
        <w:spacing w:after="20"/>
        <w:ind w:left="454"/>
      </w:pPr>
      <w:r>
        <w:t>a) En su porción media, a 13,8 mm de la cortical, a la altura de los orificios tercero y cuarto</w:t>
      </w:r>
    </w:p>
    <w:p>
      <w:pPr>
        <w:spacing w:after="20"/>
        <w:ind w:left="454"/>
      </w:pPr>
      <w:r>
        <w:t>b) En su origen, a 50 mm de la cortical, a la altura del primer orificio</w:t>
      </w:r>
    </w:p>
    <w:p>
      <w:pPr>
        <w:spacing w:after="20"/>
        <w:ind w:left="454"/>
      </w:pPr>
      <w:r>
        <w:t>c) En su porción distal, a 13,8 mm, a la altura del orificio más distal</w:t>
      </w:r>
    </w:p>
    <w:p>
      <w:pPr>
        <w:spacing w:after="20"/>
        <w:ind w:left="454"/>
      </w:pPr>
      <w:r>
        <w:t>d) No hay variación en su recorrido</w:t>
      </w:r>
    </w:p>
    <w:p>
      <w:r>
        <w:rPr>
          <w:b/>
        </w:rPr>
        <w:t xml:space="preserve">Respuesta: a. </w:t>
      </w:r>
      <w:r>
        <w:rPr/>
        <w:t>La porción media estuvo a 13,8 mm de la cortical medial, y correspondió a los orificios tercero y cuarto de la placa [r16]. Por eso se aconseja cuidar el taladro en esa zona [r16].</w:t>
      </w:r>
    </w:p>
    <w:p>
      <w:pPr>
        <w:pStyle w:val="Heading1"/>
      </w:pPr>
      <w:r>
        <w:t>Lectura recomendada</w:t>
      </w:r>
    </w:p>
    <w:p>
      <w:pPr>
        <w:pStyle w:val="ListBullet"/>
      </w:pPr>
      <w:r>
        <w:t xml:space="preserve">AO Surgery Reference — Lateral approach to the femoral shaft (lectura recomendada) (lectura): </w:t>
      </w:r>
      <w:hyperlink r:id="rId11">
        <w:r>
          <w:rPr>
            <w:color w:val="0563C1"/>
            <w:u w:val="single"/>
          </w:rPr>
          <w:t xml:space="preserve">https://surgeryreference.aofoundation.org/orthopedic-trauma/adult-trauma/femoral-shaft/approach/lateral-approach</w:t>
        </w:r>
      </w:hyperlink>
    </w:p>
    <w:p>
      <w:pPr>
        <w:pStyle w:val="ListBullet"/>
      </w:pPr>
      <w:r>
        <w:t xml:space="preserve">AO Surgery Reference — Minimally invasive osteosynthesis approach to the femoral shaft (lectura recomendada) (lectura): </w:t>
      </w:r>
      <w:hyperlink r:id="rId15">
        <w:r>
          <w:rPr>
            <w:color w:val="0563C1"/>
            <w:u w:val="single"/>
          </w:rPr>
          <w:t xml:space="preserve">https://surgeryreference.aofoundation.org/orthopedic-trauma/adult-trauma/femoral-shaft/approach/minimally-invasive-osteosynthesis-approach</w:t>
        </w:r>
      </w:hyperlink>
    </w:p>
    <w:p>
      <w:pPr>
        <w:pStyle w:val="ListBullet"/>
      </w:pPr>
      <w:r>
        <w:t xml:space="preserve">AO Surgery Reference — Limited lateral approach for implant insertion in the proximal femur (lectura recomendada) (lectura): </w:t>
      </w:r>
      <w:hyperlink r:id="rId13">
        <w:r>
          <w:rPr>
            <w:color w:val="0563C1"/>
            <w:u w:val="single"/>
          </w:rPr>
          <w:t xml:space="preserve">https://surgeryreference.aofoundation.org/orthopedic-trauma/adult-trauma/proximal-femur/approach/limited-lateral-approach-for-implant-insertion</w:t>
        </w:r>
      </w:hyperlink>
    </w:p>
    <w:p>
      <w:pPr>
        <w:pStyle w:val="ListBullet"/>
      </w:pPr>
      <w:r>
        <w:t xml:space="preserve">AO Surgery Reference — Lateral/anterolateral approach to the distal femur (lectura recomendada) (lectura): </w:t>
      </w:r>
      <w:hyperlink r:id="rId12">
        <w:r>
          <w:rPr>
            <w:color w:val="0563C1"/>
            <w:u w:val="single"/>
          </w:rPr>
          <w:t xml:space="preserve">https://surgeryreference.aofoundation.org/orthopedic-trauma/adult-trauma/distal-femur/approach/lateral-anterolateral-approach-to-the-distal-femur</w:t>
        </w:r>
      </w:hyperlink>
    </w:p>
    <w:p>
      <w:pPr>
        <w:pStyle w:val="ListBullet"/>
      </w:pPr>
      <w:r>
        <w:t xml:space="preserve">AO Surgery Reference — MIPO approach to the distal femur from lateral/anterolateral (lectura recomendada) (lectura): </w:t>
      </w:r>
      <w:hyperlink r:id="rId14">
        <w:r>
          <w:rPr>
            <w:color w:val="0563C1"/>
            <w:u w:val="single"/>
          </w:rPr>
          <w:t xml:space="preserve">https://surgeryreference.aofoundation.org/orthopedic-trauma/adult-trauma/distal-femur/approach/mipo-approach-to-the-distal-femur-from-lateral-anterolateral</w:t>
        </w:r>
      </w:hyperlink>
    </w:p>
    <w:p>
      <w:pPr>
        <w:pStyle w:val="ListBullet"/>
      </w:pPr>
      <w:r>
        <w:t xml:space="preserve">AO Surgery Reference — Todos los abordajes de la diáfisis femoral (índice, lectura recomendada) (lectura): </w:t>
      </w:r>
      <w:hyperlink r:id="rId62">
        <w:r>
          <w:rPr>
            <w:color w:val="0563C1"/>
            <w:u w:val="single"/>
          </w:rPr>
          <w:t xml:space="preserve">https://surgeryreference.aofoundation.org/orthopedic-trauma/adult-trauma/femoral-shaft/approach/all-approaches</w:t>
        </w:r>
      </w:hyperlink>
    </w:p>
    <w:p>
      <w:pPr>
        <w:pStyle w:val="ListBullet"/>
      </w:pPr>
      <w:r>
        <w:t xml:space="preserve">AAOS — Management of Hip Fractures in Older Adults (guía de práctica clínica 2021) (lectura): </w:t>
      </w:r>
      <w:hyperlink r:id="rId30">
        <w:r>
          <w:rPr>
            <w:color w:val="0563C1"/>
            <w:u w:val="single"/>
          </w:rPr>
          <w:t xml:space="preserve">https://www.aaos.org/hipfxcpg</w:t>
        </w:r>
      </w:hyperlink>
    </w:p>
    <w:p>
      <w:pPr>
        <w:pStyle w:val="ListBullet"/>
      </w:pPr>
      <w:r>
        <w:t xml:space="preserve">NICE CG124 — Hip fracture: management (recomendaciones) (lectura): </w:t>
      </w:r>
      <w:hyperlink r:id="rId32">
        <w:r>
          <w:rPr>
            <w:color w:val="0563C1"/>
            <w:u w:val="single"/>
          </w:rPr>
          <w:t xml:space="preserve">https://www.nice.org.uk/guidance/cg124/chapter/Recommendations</w:t>
        </w:r>
      </w:hyperlink>
    </w:p>
    <w:p>
      <w:pPr>
        <w:pStyle w:val="ListBullet"/>
      </w:pPr>
      <w:r>
        <w:t xml:space="preserve">Cochrane — Cephalomedullary nails versus extramedullary implants for extracapsular hip fractures in older adults (lectura): </w:t>
      </w:r>
      <w:hyperlink r:id="rId33">
        <w:r>
          <w:rPr>
            <w:color w:val="0563C1"/>
            <w:u w:val="single"/>
          </w:rPr>
          <w:t xml:space="preserve">https://doi.org/10.1002/14651858.CD000093.pub6</w:t>
        </w:r>
      </w:hyperlink>
    </w:p>
    <w:p>
      <w:pPr>
        <w:pStyle w:val="Heading1"/>
      </w:pPr>
      <w:r>
        <w:t>Palabras clave</w:t>
      </w:r>
    </w:p>
    <w:p>
      <w:r>
        <w:t>abordaje lateral del fémur · fascia lata · cintilla iliotibial · vasto lateral · tabique intermuscular lateral · línea áspera · arterias perforantes · arteria femoral profunda · MIPO · placa submuscular · tornillo deslizante de cadera · DHS · distancia punta-ápex · pared lateral · nervio glúteo superior · oblicuidad inversa · fractura subtrocantérica · fractura diafisaria del fémur · fémur distal · osteotomía intertrocantérica · mesa de tracción · poste perineal · malrotación · clavo cefalomedular · placa estabilizadora trocantérica · AO/OTA 31A</w:t>
      </w:r>
    </w:p>
    <w:p>
      <w:pPr>
        <w:pStyle w:val="Heading1"/>
      </w:pPr>
      <w:r>
        <w:t>Para recordar</w:t>
      </w:r>
    </w:p>
    <w:p>
      <w:pPr>
        <w:pStyle w:val="ListBullet"/>
      </w:pPr>
      <w:r>
        <w:rPr/>
        <w:t>No existe zona segura para las perforantes entre 14,0 y 36,5 cm de la espina ilíaca [r2].</w:t>
      </w:r>
    </w:p>
    <w:p>
      <w:pPr>
        <w:pStyle w:val="ListBullet"/>
      </w:pPr>
      <w:r>
        <w:rPr/>
        <w:t>Eleva el vasto del tabique, localiza las perforantes y lígalas antes de que se corten [r1].</w:t>
      </w:r>
    </w:p>
    <w:p>
      <w:pPr>
        <w:pStyle w:val="ListBullet"/>
      </w:pPr>
      <w:r>
        <w:rPr/>
        <w:t>Tornillo deslizante: distancia punta-ápex de 25 mm o menos; ninguno de 120 tornillos se salió [r7].</w:t>
      </w:r>
    </w:p>
    <w:p>
      <w:pPr>
        <w:pStyle w:val="ListBullet"/>
      </w:pPr>
      <w:r>
        <w:rPr/>
        <w:t>Subtrocantérica y oblicuidad inversa: clavo cefalomedular, recomendación fuerte de la AAOS [r6].</w:t>
      </w:r>
    </w:p>
    <w:p>
      <w:pPr>
        <w:pStyle w:val="ListBullet"/>
      </w:pPr>
      <w:r>
        <w:rPr/>
        <w:t>MIPO cuida la irrigación en cadáver, pero la rotación se pierde con facilidad [r3][r5].</w:t>
      </w:r>
    </w:p>
    <w:p>
      <w:pPr>
        <w:pStyle w:val="ListBullet"/>
      </w:pPr>
      <w:r>
        <w:rPr/>
        <w:t>Al cerrar, el vasto cae sobre el hueso y la fascia lata va con puntos gruesos [r1].</w:t>
      </w:r>
    </w:p>
    <w:p>
      <w:pPr>
        <w:pStyle w:val="ListBullet"/>
      </w:pPr>
      <w:r>
        <w:rPr/>
        <w:t>Pared lateral menor de 20,5 mm: no uses solo tornillo deslizante [r22].</w:t>
      </w:r>
    </w:p>
    <w:p>
      <w:pPr>
        <w:pStyle w:val="Heading1"/>
      </w:pPr>
      <w:r>
        <w:t>Caso de staff</w:t>
      </w:r>
    </w:p>
    <w:p>
      <w:r>
        <w:rPr>
          <w:i/>
        </w:rPr>
        <w:t>Caso didáctico, inventado como tal; no corresponde a un paciente real.</w:t>
      </w:r>
    </w:p>
    <w:p>
      <w:pPr>
        <w:pStyle w:val="Heading2"/>
      </w:pPr>
      <w:r>
        <w:t>Caso didáctico de staff: fractura pertrocantérea en una mujer de 79 años</w:t>
      </w:r>
    </w:p>
    <w:p>
      <w:r>
        <w:rPr/>
        <w:t>Caso sintético, sin datos de pacientes reales. Mujer de 79 años que camina con bastón, ingresa tras una caída con fractura intertrocantérica estable, sin conminución de la pared lateral, que mide 24 mm en la radiografía. Tu tutor planifica un tornillo deslizante por ventana lateral limitada y te pide que expliques el plan.</w:t>
      </w:r>
    </w:p>
    <w:p>
      <w:pPr>
        <w:pStyle w:val="Heading2"/>
      </w:pPr>
      <w:r>
        <w:t>Preguntas para discutir</w:t>
      </w:r>
    </w:p>
    <w:p>
      <w:pPr>
        <w:spacing w:after="60"/>
        <w:ind w:left="510" w:hanging="340"/>
      </w:pPr>
      <w:r>
        <w:rPr>
          <w:b/>
        </w:rPr>
        <w:t xml:space="preserve">1. </w:t>
      </w:r>
      <w:r>
        <w:rPr/>
        <w:t>¿Esta fractura admite tornillo deslizante o debe ir un clavo, según las guías?</w:t>
      </w:r>
    </w:p>
    <w:p>
      <w:pPr>
        <w:spacing w:after="60"/>
        <w:ind w:left="510" w:hanging="340"/>
      </w:pPr>
      <w:r>
        <w:rPr>
          <w:b/>
        </w:rPr>
        <w:t xml:space="preserve">2. </w:t>
      </w:r>
      <w:r>
        <w:rPr/>
        <w:t>¿Dónde empieza la incisión, cuánto baja y cuándo esperas las perforantes?</w:t>
      </w:r>
    </w:p>
    <w:p>
      <w:pPr>
        <w:spacing w:after="60"/>
        <w:ind w:left="510" w:hanging="340"/>
      </w:pPr>
      <w:r>
        <w:rPr>
          <w:b/>
        </w:rPr>
        <w:t xml:space="preserve">3. </w:t>
      </w:r>
      <w:r>
        <w:rPr/>
        <w:t>¿Qué distancia punta-ápex buscas en el control de imagen y por qué?</w:t>
      </w:r>
    </w:p>
    <w:p>
      <w:pPr>
        <w:spacing w:after="60"/>
        <w:ind w:left="510" w:hanging="340"/>
      </w:pPr>
      <w:r>
        <w:rPr>
          <w:b/>
        </w:rPr>
        <w:t xml:space="preserve">4. </w:t>
      </w:r>
      <w:r>
        <w:rPr/>
        <w:t>¿Qué cambiaría si la pared lateral midiera menos de 20,5 mm o si la fractura fuera de oblicuidad inversa?</w:t>
      </w:r>
    </w:p>
    <w:p>
      <w:pPr>
        <w:spacing w:after="60"/>
        <w:ind w:left="510" w:hanging="340"/>
      </w:pPr>
      <w:r>
        <w:rPr>
          <w:b/>
        </w:rPr>
        <w:t xml:space="preserve">5. </w:t>
      </w:r>
      <w:r>
        <w:rPr/>
        <w:t>¿Qué precauciones tomas con la mesa de tracción?</w:t>
      </w:r>
    </w:p>
    <w:p>
      <w:pPr>
        <w:pStyle w:val="Heading2"/>
      </w:pPr>
      <w:r>
        <w:t>Resolución</w:t>
      </w:r>
    </w:p>
    <w:p>
      <w:r>
        <w:rPr/>
        <w:t>La AAOS recomienda tornillo deslizante o dispositivo cefalomedular en intertrocantéricas estables, con calidad alta y recomendación fuerte [r6]; NICE prefiere un implante extramedular hasta el trocánter menor salvo oblicuidad inversa [r29]. Con una placa de 135° de dos orificios, la incisión empieza unos centímetros sobre el trocánter y baja 10 cm [r14]. Espera las primeras perforantes si la exposición baja más de 5 cm bajo la cresta del vasto lateral [r14] y lígalas [r15]. Busca una distancia punta-ápex de 25 mm o menos [r7] sin quedarte por debajo de 10 mm [r40]. Con pared lateral menor de 20,5 mm no se debe usar DHS solo [r22], y en oblicuidad inversa la AAOS recomienda dispositivo cefalomedular [r6]. Acolcha el poste perineal [r17].</w:t>
      </w:r>
    </w:p>
    <w:p>
      <w:r>
        <w:rPr>
          <w:b/>
        </w:rPr>
        <w:t xml:space="preserve">Mensaje para llevarse: </w:t>
      </w:r>
      <w:r>
        <w:rPr/>
        <w:t>La ventana limitada es sencilla; lo que decide el resultado es el implante correcto y su posición [r23].</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Giannoudis PV, Pape HC, Schütz M. Lateral approach to the femoral shaft [Internet]. En: AO Surgery Reference. Davos: AO Foundation [consultado 2026 oct 12]. Disponible en: https://surgeryreference.aofoundation.org/orthopedic-trauma/adult-trauma/femoral-shaft/approach/lateral-approach </w:t>
      </w:r>
      <w:r>
        <w:rPr>
          <w:i/>
          <w:color w:val="5A6469"/>
          <w:sz w:val="17"/>
        </w:rPr>
        <w:t xml:space="preserve">(web-oficial · acceso abierto) </w:t>
      </w:r>
      <w:hyperlink r:id="rId11">
        <w:r>
          <w:rPr>
            <w:color w:val="0563C1"/>
            <w:u w:val="single"/>
            <w:sz w:val="18"/>
          </w:rPr>
          <w:t xml:space="preserve">https://surgeryreference.aofoundation.org/orthopedic-trauma/adult-trauma/femoral-shaft/approach/lateral-approach</w:t>
        </w:r>
      </w:hyperlink>
    </w:p>
    <w:p>
      <w:pPr>
        <w:spacing w:after="60"/>
        <w:ind w:left="510" w:hanging="510"/>
      </w:pPr>
      <w:r>
        <w:rPr>
          <w:b/>
          <w:sz w:val="18"/>
        </w:rPr>
        <w:t xml:space="preserve">[r2] </w:t>
      </w:r>
      <w:r>
        <w:rPr>
          <w:sz w:val="18"/>
        </w:rPr>
        <w:t xml:space="preserve">Pretterklieber B, Pablik E, Dorfmeister K, Pretterklieber ML. There are no safe areas for avoiding the perforating arteries along the proximal part of the femur: A word of caution. Clin Anat 2020;33(4):507-515. doi:10.1002/ca.23398 </w:t>
      </w:r>
      <w:r>
        <w:rPr>
          <w:i/>
          <w:color w:val="5A6469"/>
          <w:sz w:val="17"/>
        </w:rPr>
        <w:t xml:space="preserve">(serie · acceso abierto) </w:t>
      </w:r>
      <w:hyperlink r:id="rId17">
        <w:r>
          <w:rPr>
            <w:color w:val="0563C1"/>
            <w:u w:val="single"/>
            <w:sz w:val="18"/>
          </w:rPr>
          <w:t xml:space="preserve">https://doi.org/10.1002/ca.23398</w:t>
        </w:r>
      </w:hyperlink>
    </w:p>
    <w:p>
      <w:pPr>
        <w:spacing w:after="60"/>
        <w:ind w:left="510" w:hanging="510"/>
      </w:pPr>
      <w:r>
        <w:rPr>
          <w:b/>
          <w:sz w:val="18"/>
        </w:rPr>
        <w:t xml:space="preserve">[r3] </w:t>
      </w:r>
      <w:r>
        <w:rPr>
          <w:sz w:val="18"/>
        </w:rPr>
        <w:t xml:space="preserve">Farouk O, Krettek C, Miclau T, Schandelmaier P, Guy P, Tscherne H. Minimally invasive plate osteosynthesis: does percutaneous plating disrupt femoral blood supply less than the traditional technique? J Orthop Trauma 1999;13(6):401-6. doi:10.1097/00005131-199908000-00002 </w:t>
      </w:r>
      <w:r>
        <w:rPr>
          <w:i/>
          <w:color w:val="5A6469"/>
          <w:sz w:val="17"/>
        </w:rPr>
        <w:t xml:space="preserve">(serie · acceso resumen) </w:t>
      </w:r>
      <w:hyperlink r:id="rId25">
        <w:r>
          <w:rPr>
            <w:color w:val="0563C1"/>
            <w:u w:val="single"/>
            <w:sz w:val="18"/>
          </w:rPr>
          <w:t xml:space="preserve">https://doi.org/10.1097/00005131-199908000-00002</w:t>
        </w:r>
      </w:hyperlink>
    </w:p>
    <w:p>
      <w:pPr>
        <w:spacing w:after="60"/>
        <w:ind w:left="510" w:hanging="510"/>
      </w:pPr>
      <w:r>
        <w:rPr>
          <w:b/>
          <w:sz w:val="18"/>
        </w:rPr>
        <w:t xml:space="preserve">[r4] </w:t>
      </w:r>
      <w:r>
        <w:rPr>
          <w:sz w:val="18"/>
        </w:rPr>
        <w:t xml:space="preserve">Zlowodzki M, Vogt D, Cole PA, Kregor PJ. Plating of femoral shaft fractures: open reduction and internal fixation versus submuscular fixation. J Trauma 2007;63(5):1061-5. doi:10.1097/TA.0b013e318154c0b4 </w:t>
      </w:r>
      <w:r>
        <w:rPr>
          <w:i/>
          <w:color w:val="5A6469"/>
          <w:sz w:val="17"/>
        </w:rPr>
        <w:t xml:space="preserve">(cohorte · acceso resumen) </w:t>
      </w:r>
      <w:hyperlink r:id="rId26">
        <w:r>
          <w:rPr>
            <w:color w:val="0563C1"/>
            <w:u w:val="single"/>
            <w:sz w:val="18"/>
          </w:rPr>
          <w:t xml:space="preserve">https://doi.org/10.1097/TA.0b013e318154c0b4</w:t>
        </w:r>
      </w:hyperlink>
    </w:p>
    <w:p>
      <w:pPr>
        <w:spacing w:after="60"/>
        <w:ind w:left="510" w:hanging="510"/>
      </w:pPr>
      <w:r>
        <w:rPr>
          <w:b/>
          <w:sz w:val="18"/>
        </w:rPr>
        <w:t xml:space="preserve">[r5] </w:t>
      </w:r>
      <w:r>
        <w:rPr>
          <w:sz w:val="18"/>
        </w:rPr>
        <w:t xml:space="preserve">Kim JW, Oh CW, Oh JK, Park IH, Kyung HS, Park KH, et al. Malalignment after minimally invasive plate osteosynthesis in distal femoral fractures. Injury 2017;48(3):751-757. doi:10.1016/j.injury.2017.01.019 </w:t>
      </w:r>
      <w:r>
        <w:rPr>
          <w:i/>
          <w:color w:val="5A6469"/>
          <w:sz w:val="17"/>
        </w:rPr>
        <w:t xml:space="preserve">(serie · acceso resumen) </w:t>
      </w:r>
      <w:hyperlink r:id="rId29">
        <w:r>
          <w:rPr>
            <w:color w:val="0563C1"/>
            <w:u w:val="single"/>
            <w:sz w:val="18"/>
          </w:rPr>
          <w:t xml:space="preserve">https://doi.org/10.1016/j.injury.2017.01.019</w:t>
        </w:r>
      </w:hyperlink>
    </w:p>
    <w:p>
      <w:pPr>
        <w:spacing w:after="60"/>
        <w:ind w:left="510" w:hanging="510"/>
      </w:pPr>
      <w:r>
        <w:rPr>
          <w:b/>
          <w:sz w:val="18"/>
        </w:rPr>
        <w:t xml:space="preserve">[r6] </w:t>
      </w:r>
      <w:r>
        <w:rPr>
          <w:sz w:val="18"/>
        </w:rPr>
        <w:t xml:space="preserve">American Academy of Orthopaedic Surgeons. Management of Hip Fractures in Older Adults: Evidence-Based Clinical Practice Guideline [Internet]. Rosemont (IL): AAOS; 2021 dic 3 [consultado 2026 oct 12]. Disponible en: https://www.aaos.org/hipfxcpg </w:t>
      </w:r>
      <w:r>
        <w:rPr>
          <w:i/>
          <w:color w:val="5A6469"/>
          <w:sz w:val="17"/>
        </w:rPr>
        <w:t xml:space="preserve">(guia · acceso abierto) </w:t>
      </w:r>
      <w:hyperlink r:id="rId30">
        <w:r>
          <w:rPr>
            <w:color w:val="0563C1"/>
            <w:u w:val="single"/>
            <w:sz w:val="18"/>
          </w:rPr>
          <w:t xml:space="preserve">https://www.aaos.org/hipfxcpg</w:t>
        </w:r>
      </w:hyperlink>
    </w:p>
    <w:p>
      <w:pPr>
        <w:spacing w:after="60"/>
        <w:ind w:left="510" w:hanging="510"/>
      </w:pPr>
      <w:r>
        <w:rPr>
          <w:b/>
          <w:sz w:val="18"/>
        </w:rPr>
        <w:t xml:space="preserve">[r7] </w:t>
      </w:r>
      <w:r>
        <w:rPr>
          <w:sz w:val="18"/>
        </w:rPr>
        <w:t xml:space="preserve">Baumgaertner MR, Curtin SL, Lindskog DM, Keggi JM. The value of the tip-apex distance in predicting failure of fixation of peritrochanteric fractures of the hip. J Bone Joint Surg Am 1995;77(7):1058-64. doi:10.2106/00004623-199507000-00012 </w:t>
      </w:r>
      <w:r>
        <w:rPr>
          <w:i/>
          <w:color w:val="5A6469"/>
          <w:sz w:val="17"/>
        </w:rPr>
        <w:t xml:space="preserve">(cohorte · acceso resumen) </w:t>
      </w:r>
      <w:hyperlink r:id="rId47">
        <w:r>
          <w:rPr>
            <w:color w:val="0563C1"/>
            <w:u w:val="single"/>
            <w:sz w:val="18"/>
          </w:rPr>
          <w:t xml:space="preserve">https://doi.org/10.2106/00004623-199507000-00012</w:t>
        </w:r>
      </w:hyperlink>
    </w:p>
    <w:p>
      <w:pPr>
        <w:spacing w:after="60"/>
        <w:ind w:left="510" w:hanging="510"/>
      </w:pPr>
      <w:r>
        <w:rPr>
          <w:b/>
          <w:sz w:val="18"/>
        </w:rPr>
        <w:t xml:space="preserve">[r8] </w:t>
      </w:r>
      <w:r>
        <w:rPr>
          <w:sz w:val="18"/>
        </w:rPr>
        <w:t xml:space="preserve">Denisiuk M, Afsari A. Femoral Shaft Fractures. En: StatPearls [Internet]. Treasure Island (FL): StatPearls Publishing; 2023 ene [consultado 2026 oct 12]. Disponible en: https://www.ncbi.nlm.nih.gov/books/NBK556057/ </w:t>
      </w:r>
      <w:r>
        <w:rPr>
          <w:i/>
          <w:color w:val="5A6469"/>
          <w:sz w:val="17"/>
        </w:rPr>
        <w:t xml:space="preserve">(libro-abierto · acceso abierto) </w:t>
      </w:r>
      <w:hyperlink r:id="rId18">
        <w:r>
          <w:rPr>
            <w:color w:val="0563C1"/>
            <w:u w:val="single"/>
            <w:sz w:val="18"/>
          </w:rPr>
          <w:t xml:space="preserve">https://www.ncbi.nlm.nih.gov/books/NBK556057/</w:t>
        </w:r>
      </w:hyperlink>
    </w:p>
    <w:p>
      <w:pPr>
        <w:spacing w:after="60"/>
        <w:ind w:left="510" w:hanging="510"/>
      </w:pPr>
      <w:r>
        <w:rPr>
          <w:b/>
          <w:sz w:val="18"/>
        </w:rPr>
        <w:t xml:space="preserve">[r9] </w:t>
      </w:r>
      <w:r>
        <w:rPr>
          <w:sz w:val="18"/>
        </w:rPr>
        <w:t xml:space="preserve">Grob K, Manestar M, Lang A, Ackland T, Gilbey H, Kuster MS. Effects of ligation of lateral intermuscular septum perforating vessels on blood supply to the femur. Injury 2015;46(12):2461-7. doi:10.1016/j.injury.2015.09.029 </w:t>
      </w:r>
      <w:r>
        <w:rPr>
          <w:i/>
          <w:color w:val="5A6469"/>
          <w:sz w:val="17"/>
        </w:rPr>
        <w:t xml:space="preserve">(serie · acceso resumen) </w:t>
      </w:r>
      <w:hyperlink r:id="rId19">
        <w:r>
          <w:rPr>
            <w:color w:val="0563C1"/>
            <w:u w:val="single"/>
            <w:sz w:val="18"/>
          </w:rPr>
          <w:t xml:space="preserve">https://doi.org/10.1016/j.injury.2015.09.029</w:t>
        </w:r>
      </w:hyperlink>
    </w:p>
    <w:p>
      <w:pPr>
        <w:spacing w:after="60"/>
        <w:ind w:left="510" w:hanging="510"/>
      </w:pPr>
      <w:r>
        <w:rPr>
          <w:b/>
          <w:sz w:val="18"/>
        </w:rPr>
        <w:t xml:space="preserve">[r10] </w:t>
      </w:r>
      <w:r>
        <w:rPr>
          <w:sz w:val="18"/>
        </w:rPr>
        <w:t xml:space="preserve">Gebhard F, Kregor P, Oliver C, Nousiainen MT. Lateral/anterolateral approach to the distal femur [Internet]. En: AO Surgery Reference. Davos: AO Foundation [consultado 2026 oct 12]. Disponible en: https://surgeryreference.aofoundation.org/orthopedic-trauma/adult-trauma/distal-femur/approach/lateral-anterolateral-approach-to-the-distal-femur </w:t>
      </w:r>
      <w:r>
        <w:rPr>
          <w:i/>
          <w:color w:val="5A6469"/>
          <w:sz w:val="17"/>
        </w:rPr>
        <w:t xml:space="preserve">(web-oficial · acceso abierto) </w:t>
      </w:r>
      <w:hyperlink r:id="rId12">
        <w:r>
          <w:rPr>
            <w:color w:val="0563C1"/>
            <w:u w:val="single"/>
            <w:sz w:val="18"/>
          </w:rPr>
          <w:t xml:space="preserve">https://surgeryreference.aofoundation.org/orthopedic-trauma/adult-trauma/distal-femur/approach/lateral-anterolateral-approach-to-the-distal-femur</w:t>
        </w:r>
      </w:hyperlink>
    </w:p>
    <w:p>
      <w:pPr>
        <w:spacing w:after="60"/>
        <w:ind w:left="510" w:hanging="510"/>
      </w:pPr>
      <w:r>
        <w:rPr>
          <w:b/>
          <w:sz w:val="18"/>
        </w:rPr>
        <w:t xml:space="preserve">[r11] </w:t>
      </w:r>
      <w:r>
        <w:rPr>
          <w:sz w:val="18"/>
        </w:rPr>
        <w:t xml:space="preserve">Lill M, Attal R, Rudisch A, Wick MC, Blauth M, Lutz M. Does MIPO of fractures of the distal femur result in more rotational malalignment than ORIF? A retrospective study. Eur J Trauma Emerg Surg 2016;42(6):733-740. doi:10.1007/s00068-015-0595-8 </w:t>
      </w:r>
      <w:r>
        <w:rPr>
          <w:i/>
          <w:color w:val="5A6469"/>
          <w:sz w:val="17"/>
        </w:rPr>
        <w:t xml:space="preserve">(cohorte · acceso resumen) </w:t>
      </w:r>
      <w:hyperlink r:id="rId48">
        <w:r>
          <w:rPr>
            <w:color w:val="0563C1"/>
            <w:u w:val="single"/>
            <w:sz w:val="18"/>
          </w:rPr>
          <w:t xml:space="preserve">https://doi.org/10.1007/s00068-015-0595-8</w:t>
        </w:r>
      </w:hyperlink>
    </w:p>
    <w:p>
      <w:pPr>
        <w:spacing w:after="60"/>
        <w:ind w:left="510" w:hanging="510"/>
      </w:pPr>
      <w:r>
        <w:rPr>
          <w:b/>
          <w:sz w:val="18"/>
        </w:rPr>
        <w:t xml:space="preserve">[r12] </w:t>
      </w:r>
      <w:r>
        <w:rPr>
          <w:sz w:val="18"/>
        </w:rPr>
        <w:t xml:space="preserve">Lewis SR, Macey R, Gill JR, Parker MJ, Griffin XL. Cephalomedullary nails versus extramedullary implants for extracapsular hip fractures in older adults. Cochrane Database Syst Rev 2022;1:CD000093. doi:10.1002/14651858.CD000093.pub6 </w:t>
      </w:r>
      <w:r>
        <w:rPr>
          <w:i/>
          <w:color w:val="5A6469"/>
          <w:sz w:val="17"/>
        </w:rPr>
        <w:t xml:space="preserve">(RS-MA · acceso abierto) </w:t>
      </w:r>
      <w:hyperlink r:id="rId33">
        <w:r>
          <w:rPr>
            <w:color w:val="0563C1"/>
            <w:u w:val="single"/>
            <w:sz w:val="18"/>
          </w:rPr>
          <w:t xml:space="preserve">https://doi.org/10.1002/14651858.CD000093.pub6</w:t>
        </w:r>
      </w:hyperlink>
    </w:p>
    <w:p>
      <w:pPr>
        <w:spacing w:after="60"/>
        <w:ind w:left="510" w:hanging="510"/>
      </w:pPr>
      <w:r>
        <w:rPr>
          <w:b/>
          <w:sz w:val="18"/>
        </w:rPr>
        <w:t xml:space="preserve">[r13] </w:t>
      </w:r>
      <w:r>
        <w:rPr>
          <w:sz w:val="18"/>
        </w:rPr>
        <w:t xml:space="preserve">Apivatthakakul T, Chiewcharntanakit S. Minimally invasive plate osteosynthesis (MIPO) in the treatment of the femoral shaft fracture where intramedullary nailing is not indicated. Int Orthop 2009;33(4):1119-26. doi:10.1007/s00264-008-0603-2 </w:t>
      </w:r>
      <w:r>
        <w:rPr>
          <w:i/>
          <w:color w:val="5A6469"/>
          <w:sz w:val="17"/>
        </w:rPr>
        <w:t xml:space="preserve">(serie · acceso resumen) </w:t>
      </w:r>
      <w:hyperlink r:id="rId34">
        <w:r>
          <w:rPr>
            <w:color w:val="0563C1"/>
            <w:u w:val="single"/>
            <w:sz w:val="18"/>
          </w:rPr>
          <w:t xml:space="preserve">https://doi.org/10.1007/s00264-008-0603-2</w:t>
        </w:r>
      </w:hyperlink>
    </w:p>
    <w:p>
      <w:pPr>
        <w:spacing w:after="60"/>
        <w:ind w:left="510" w:hanging="510"/>
      </w:pPr>
      <w:r>
        <w:rPr>
          <w:b/>
          <w:sz w:val="18"/>
        </w:rPr>
        <w:t xml:space="preserve">[r14] </w:t>
      </w:r>
      <w:r>
        <w:rPr>
          <w:sz w:val="18"/>
        </w:rPr>
        <w:t xml:space="preserve">Apivatthakakul T, Oh JK. Limited lateral approach for implant insertion in the proximal femur [Internet]. En: AO Surgery Reference. Davos: AO Foundation [consultado 2026 oct 12]. Disponible en: https://surgeryreference.aofoundation.org/orthopedic-trauma/adult-trauma/proximal-femur/approach/limited-lateral-approach-for-implant-insertion </w:t>
      </w:r>
      <w:r>
        <w:rPr>
          <w:i/>
          <w:color w:val="5A6469"/>
          <w:sz w:val="17"/>
        </w:rPr>
        <w:t xml:space="preserve">(web-oficial · acceso abierto) </w:t>
      </w:r>
      <w:hyperlink r:id="rId13">
        <w:r>
          <w:rPr>
            <w:color w:val="0563C1"/>
            <w:u w:val="single"/>
            <w:sz w:val="18"/>
          </w:rPr>
          <w:t xml:space="preserve">https://surgeryreference.aofoundation.org/orthopedic-trauma/adult-trauma/proximal-femur/approach/limited-lateral-approach-for-implant-insertion</w:t>
        </w:r>
      </w:hyperlink>
    </w:p>
    <w:p>
      <w:pPr>
        <w:spacing w:after="60"/>
        <w:ind w:left="510" w:hanging="510"/>
      </w:pPr>
      <w:r>
        <w:rPr>
          <w:b/>
          <w:sz w:val="18"/>
        </w:rPr>
        <w:t xml:space="preserve">[r15] </w:t>
      </w:r>
      <w:r>
        <w:rPr>
          <w:sz w:val="18"/>
        </w:rPr>
        <w:t xml:space="preserve">Shih Y, Bartschat NI, Cheng EY. Sliding Hip Screw and Side Plate for Intertrochanteric Hip Fractures. JBJS Essent Surg Tech 2022;12(1):e19.00038. doi:10.2106/JBJS.ST.19.00038 </w:t>
      </w:r>
      <w:r>
        <w:rPr>
          <w:i/>
          <w:color w:val="5A6469"/>
          <w:sz w:val="17"/>
        </w:rPr>
        <w:t xml:space="preserve">(revision · acceso resumen) </w:t>
      </w:r>
      <w:hyperlink r:id="rId49">
        <w:r>
          <w:rPr>
            <w:color w:val="0563C1"/>
            <w:u w:val="single"/>
            <w:sz w:val="18"/>
          </w:rPr>
          <w:t xml:space="preserve">https://doi.org/10.2106/JBJS.ST.19.00038</w:t>
        </w:r>
      </w:hyperlink>
    </w:p>
    <w:p>
      <w:pPr>
        <w:spacing w:after="60"/>
        <w:ind w:left="510" w:hanging="510"/>
      </w:pPr>
      <w:r>
        <w:rPr>
          <w:b/>
          <w:sz w:val="18"/>
        </w:rPr>
        <w:t xml:space="preserve">[r16] </w:t>
      </w:r>
      <w:r>
        <w:rPr>
          <w:sz w:val="18"/>
        </w:rPr>
        <w:t xml:space="preserve">Mahmoud SSS, Ahmed B, Hamid K, Milburn S, Baker P. Identification of the medial femoral safe zone for drilling during dynamic hip screw side plate fixation: A CT angiogram tracing of the profunda femoris artery. Injury 2019;50(3):720-726. doi:10.1016/j.injury.2019.01.010 </w:t>
      </w:r>
      <w:r>
        <w:rPr>
          <w:i/>
          <w:color w:val="5A6469"/>
          <w:sz w:val="17"/>
        </w:rPr>
        <w:t xml:space="preserve">(serie · acceso resumen) </w:t>
      </w:r>
      <w:hyperlink r:id="rId20">
        <w:r>
          <w:rPr>
            <w:color w:val="0563C1"/>
            <w:u w:val="single"/>
            <w:sz w:val="18"/>
          </w:rPr>
          <w:t xml:space="preserve">https://doi.org/10.1016/j.injury.2019.01.010</w:t>
        </w:r>
      </w:hyperlink>
    </w:p>
    <w:p>
      <w:pPr>
        <w:spacing w:after="60"/>
        <w:ind w:left="510" w:hanging="510"/>
      </w:pPr>
      <w:r>
        <w:rPr>
          <w:b/>
          <w:sz w:val="18"/>
        </w:rPr>
        <w:t xml:space="preserve">[r17] </w:t>
      </w:r>
      <w:r>
        <w:rPr>
          <w:sz w:val="18"/>
        </w:rPr>
        <w:t xml:space="preserve">Attenasio A, Kraeutler MJ, Hong IS, Baskar S, Patel DV, Wright C, et al. Are complications related to the perineal post on orthopaedic traction tables for surgical fracture fixation more common than we think? A systematic review. Patient Saf Surg 2023;17(1):5. doi:10.1186/s13037-023-00355-y </w:t>
      </w:r>
      <w:r>
        <w:rPr>
          <w:i/>
          <w:color w:val="5A6469"/>
          <w:sz w:val="17"/>
        </w:rPr>
        <w:t xml:space="preserve">(RS-MA · acceso abierto) </w:t>
      </w:r>
      <w:hyperlink r:id="rId50">
        <w:r>
          <w:rPr>
            <w:color w:val="0563C1"/>
            <w:u w:val="single"/>
            <w:sz w:val="18"/>
          </w:rPr>
          <w:t xml:space="preserve">https://doi.org/10.1186/s13037-023-00355-y</w:t>
        </w:r>
      </w:hyperlink>
    </w:p>
    <w:p>
      <w:pPr>
        <w:spacing w:after="60"/>
        <w:ind w:left="510" w:hanging="510"/>
      </w:pPr>
      <w:r>
        <w:rPr>
          <w:b/>
          <w:sz w:val="18"/>
        </w:rPr>
        <w:t xml:space="preserve">[r18] </w:t>
      </w:r>
      <w:r>
        <w:rPr>
          <w:sz w:val="18"/>
        </w:rPr>
        <w:t xml:space="preserve">Apivatthakakul T, Oh JK. Direct lateral approach to the proximal femur [Internet]. En: AO Surgery Reference. Davos: AO Foundation [consultado 2026 oct 12]. Disponible en: https://surgeryreference.aofoundation.org/orthopedic-trauma/adult-trauma/proximal-femur/approach/direct-lateral-approach </w:t>
      </w:r>
      <w:r>
        <w:rPr>
          <w:i/>
          <w:color w:val="5A6469"/>
          <w:sz w:val="17"/>
        </w:rPr>
        <w:t xml:space="preserve">(web-oficial · acceso abierto) </w:t>
      </w:r>
      <w:hyperlink r:id="rId21">
        <w:r>
          <w:rPr>
            <w:color w:val="0563C1"/>
            <w:u w:val="single"/>
            <w:sz w:val="18"/>
          </w:rPr>
          <w:t xml:space="preserve">https://surgeryreference.aofoundation.org/orthopedic-trauma/adult-trauma/proximal-femur/approach/direct-lateral-approach</w:t>
        </w:r>
      </w:hyperlink>
    </w:p>
    <w:p>
      <w:pPr>
        <w:spacing w:after="60"/>
        <w:ind w:left="510" w:hanging="510"/>
      </w:pPr>
      <w:r>
        <w:rPr>
          <w:b/>
          <w:sz w:val="18"/>
        </w:rPr>
        <w:t xml:space="preserve">[r19] </w:t>
      </w:r>
      <w:r>
        <w:rPr>
          <w:sz w:val="18"/>
        </w:rPr>
        <w:t xml:space="preserve">Basarir K, Ozsoy MH, Erdemli B, Bayramoglu A, Tuccar E, Dincel VE. The safe distance for the superior gluteal nerve in direct lateral approach to the hip and its relation with the femoral length: a cadaver study. Arch Orthop Trauma Surg 2008;128(7):645-50. doi:10.1007/s00402-007-0449-x </w:t>
      </w:r>
      <w:r>
        <w:rPr>
          <w:i/>
          <w:color w:val="5A6469"/>
          <w:sz w:val="17"/>
        </w:rPr>
        <w:t xml:space="preserve">(serie · acceso resumen) </w:t>
      </w:r>
      <w:hyperlink r:id="rId22">
        <w:r>
          <w:rPr>
            <w:color w:val="0563C1"/>
            <w:u w:val="single"/>
            <w:sz w:val="18"/>
          </w:rPr>
          <w:t xml:space="preserve">https://doi.org/10.1007/s00402-007-0449-x</w:t>
        </w:r>
      </w:hyperlink>
    </w:p>
    <w:p>
      <w:pPr>
        <w:spacing w:after="60"/>
        <w:ind w:left="510" w:hanging="510"/>
      </w:pPr>
      <w:r>
        <w:rPr>
          <w:b/>
          <w:sz w:val="18"/>
        </w:rPr>
        <w:t xml:space="preserve">[r20] </w:t>
      </w:r>
      <w:r>
        <w:rPr>
          <w:sz w:val="18"/>
        </w:rPr>
        <w:t xml:space="preserve">Gebhard F, Kregor P, Oliver C, Nousiainen MT. MIPO approach to the distal femur from lateral/anterolateral [Internet]. En: AO Surgery Reference. Davos: AO Foundation [consultado 2026 oct 12]. Disponible en: https://surgeryreference.aofoundation.org/orthopedic-trauma/adult-trauma/distal-femur/approach/mipo-approach-to-the-distal-femur-from-lateral-anterolateral </w:t>
      </w:r>
      <w:r>
        <w:rPr>
          <w:i/>
          <w:color w:val="5A6469"/>
          <w:sz w:val="17"/>
        </w:rPr>
        <w:t xml:space="preserve">(web-oficial · acceso abierto) </w:t>
      </w:r>
      <w:hyperlink r:id="rId14">
        <w:r>
          <w:rPr>
            <w:color w:val="0563C1"/>
            <w:u w:val="single"/>
            <w:sz w:val="18"/>
          </w:rPr>
          <w:t xml:space="preserve">https://surgeryreference.aofoundation.org/orthopedic-trauma/adult-trauma/distal-femur/approach/mipo-approach-to-the-distal-femur-from-lateral-anterolateral</w:t>
        </w:r>
      </w:hyperlink>
    </w:p>
    <w:p>
      <w:pPr>
        <w:spacing w:after="60"/>
        <w:ind w:left="510" w:hanging="510"/>
      </w:pPr>
      <w:r>
        <w:rPr>
          <w:b/>
          <w:sz w:val="18"/>
        </w:rPr>
        <w:t xml:space="preserve">[r21] </w:t>
      </w:r>
      <w:r>
        <w:rPr>
          <w:sz w:val="18"/>
        </w:rPr>
        <w:t xml:space="preserve">Manner M, Rösch B, Roy K. [Vascular injuries complicating osteosynthesis in proximal femur fractures]. Unfallchirurg 1999;102(3):227-31. doi:10.1007/s001130050395 </w:t>
      </w:r>
      <w:r>
        <w:rPr>
          <w:i/>
          <w:color w:val="5A6469"/>
          <w:sz w:val="17"/>
        </w:rPr>
        <w:t xml:space="preserve">(serie · acceso resumen) </w:t>
      </w:r>
      <w:hyperlink r:id="rId23">
        <w:r>
          <w:rPr>
            <w:color w:val="0563C1"/>
            <w:u w:val="single"/>
            <w:sz w:val="18"/>
          </w:rPr>
          <w:t xml:space="preserve">https://doi.org/10.1007/s001130050395</w:t>
        </w:r>
      </w:hyperlink>
    </w:p>
    <w:p>
      <w:pPr>
        <w:spacing w:after="60"/>
        <w:ind w:left="510" w:hanging="510"/>
      </w:pPr>
      <w:r>
        <w:rPr>
          <w:b/>
          <w:sz w:val="18"/>
        </w:rPr>
        <w:t xml:space="preserve">[r22] </w:t>
      </w:r>
      <w:r>
        <w:rPr>
          <w:sz w:val="18"/>
        </w:rPr>
        <w:t xml:space="preserve">Hsu CE, Shih CM, Wang CC, Huang KC. Lateral femoral wall thickness. A reliable predictor of post-operative lateral wall fracture in intertrochanteric fractures. Bone Joint J 2013;95-B(8):1134-8. doi:10.1302/0301-620X.95B8.31495 </w:t>
      </w:r>
      <w:r>
        <w:rPr>
          <w:i/>
          <w:color w:val="5A6469"/>
          <w:sz w:val="17"/>
        </w:rPr>
        <w:t xml:space="preserve">(cohorte · acceso resumen) </w:t>
      </w:r>
      <w:hyperlink r:id="rId31">
        <w:r>
          <w:rPr>
            <w:color w:val="0563C1"/>
            <w:u w:val="single"/>
            <w:sz w:val="18"/>
          </w:rPr>
          <w:t xml:space="preserve">https://doi.org/10.1302/0301-620X.95B8.31495</w:t>
        </w:r>
      </w:hyperlink>
    </w:p>
    <w:p>
      <w:pPr>
        <w:spacing w:after="60"/>
        <w:ind w:left="510" w:hanging="510"/>
      </w:pPr>
      <w:r>
        <w:rPr>
          <w:b/>
          <w:sz w:val="18"/>
        </w:rPr>
        <w:t xml:space="preserve">[r23] </w:t>
      </w:r>
      <w:r>
        <w:rPr>
          <w:sz w:val="18"/>
        </w:rPr>
        <w:t xml:space="preserve">Haidukewych GJ, Israel TA, Berry DJ. Reverse obliquity fractures of the intertrochanteric region of the femur. J Bone Joint Surg Am 2001;83(5):643-50. doi:10.2106/00004623-200105000-00001 </w:t>
      </w:r>
      <w:r>
        <w:rPr>
          <w:i/>
          <w:color w:val="5A6469"/>
          <w:sz w:val="17"/>
        </w:rPr>
        <w:t xml:space="preserve">(serie · acceso resumen) </w:t>
      </w:r>
      <w:hyperlink r:id="rId35">
        <w:r>
          <w:rPr>
            <w:color w:val="0563C1"/>
            <w:u w:val="single"/>
            <w:sz w:val="18"/>
          </w:rPr>
          <w:t xml:space="preserve">https://doi.org/10.2106/00004623-200105000-00001</w:t>
        </w:r>
      </w:hyperlink>
    </w:p>
    <w:p>
      <w:pPr>
        <w:spacing w:after="60"/>
        <w:ind w:left="510" w:hanging="510"/>
      </w:pPr>
      <w:r>
        <w:rPr>
          <w:b/>
          <w:sz w:val="18"/>
        </w:rPr>
        <w:t xml:space="preserve">[r24] </w:t>
      </w:r>
      <w:r>
        <w:rPr>
          <w:sz w:val="18"/>
        </w:rPr>
        <w:t xml:space="preserve">Koso RE, Terhoeve C, Steen RG, Zura R. Healing, nonunion, and re-operation after internal fixation of diaphyseal and distal femoral fractures: a systematic review and meta-analysis. Int Orthop 2018;42(11):2675-2683. doi:10.1007/s00264-018-3864-4 </w:t>
      </w:r>
      <w:r>
        <w:rPr>
          <w:i/>
          <w:color w:val="5A6469"/>
          <w:sz w:val="17"/>
        </w:rPr>
        <w:t xml:space="preserve">(RS-MA · acceso resumen) </w:t>
      </w:r>
      <w:hyperlink r:id="rId36">
        <w:r>
          <w:rPr>
            <w:color w:val="0563C1"/>
            <w:u w:val="single"/>
            <w:sz w:val="18"/>
          </w:rPr>
          <w:t xml:space="preserve">https://doi.org/10.1007/s00264-018-3864-4</w:t>
        </w:r>
      </w:hyperlink>
    </w:p>
    <w:p>
      <w:pPr>
        <w:spacing w:after="60"/>
        <w:ind w:left="510" w:hanging="510"/>
      </w:pPr>
      <w:r>
        <w:rPr>
          <w:b/>
          <w:sz w:val="18"/>
        </w:rPr>
        <w:t xml:space="preserve">[r25] </w:t>
      </w:r>
      <w:r>
        <w:rPr>
          <w:sz w:val="18"/>
        </w:rPr>
        <w:t xml:space="preserve">Giannoudis PV, Pape HC, Schütz M. Minimally invasive osteosynthesis approach to the femoral shaft [Internet]. En: AO Surgery Reference. Davos: AO Foundation [consultado 2026 oct 12]. Disponible en: https://surgeryreference.aofoundation.org/orthopedic-trauma/adult-trauma/femoral-shaft/approach/minimally-invasive-osteosynthesis-approach </w:t>
      </w:r>
      <w:r>
        <w:rPr>
          <w:i/>
          <w:color w:val="5A6469"/>
          <w:sz w:val="17"/>
        </w:rPr>
        <w:t xml:space="preserve">(web-oficial · acceso abierto) </w:t>
      </w:r>
      <w:hyperlink r:id="rId15">
        <w:r>
          <w:rPr>
            <w:color w:val="0563C1"/>
            <w:u w:val="single"/>
            <w:sz w:val="18"/>
          </w:rPr>
          <w:t xml:space="preserve">https://surgeryreference.aofoundation.org/orthopedic-trauma/adult-trauma/femoral-shaft/approach/minimally-invasive-osteosynthesis-approach</w:t>
        </w:r>
      </w:hyperlink>
    </w:p>
    <w:p>
      <w:pPr>
        <w:spacing w:after="60"/>
        <w:ind w:left="510" w:hanging="510"/>
      </w:pPr>
      <w:r>
        <w:rPr>
          <w:b/>
          <w:sz w:val="18"/>
        </w:rPr>
        <w:t xml:space="preserve">[r26] </w:t>
      </w:r>
      <w:r>
        <w:rPr>
          <w:sz w:val="18"/>
        </w:rPr>
        <w:t xml:space="preserve">Okada H, Kawamura K, Hasegawa H, Omokawa S, Mahakkanukrauh P, Tanaka Y. Anatomical Relations of the Perforators from the Descending Lateral Femoral Circumflex Artery and Vastus Lateralis Motor Nerve Branches. Plast Reconstr Surg Glob Open 2024;12(2):e5611. doi:10.1097/GOX.0000000000005611 </w:t>
      </w:r>
      <w:r>
        <w:rPr>
          <w:i/>
          <w:color w:val="5A6469"/>
          <w:sz w:val="17"/>
        </w:rPr>
        <w:t xml:space="preserve">(serie · acceso abierto) </w:t>
      </w:r>
      <w:hyperlink r:id="rId24">
        <w:r>
          <w:rPr>
            <w:color w:val="0563C1"/>
            <w:u w:val="single"/>
            <w:sz w:val="18"/>
          </w:rPr>
          <w:t xml:space="preserve">https://doi.org/10.1097/GOX.0000000000005611</w:t>
        </w:r>
      </w:hyperlink>
    </w:p>
    <w:p>
      <w:pPr>
        <w:spacing w:after="60"/>
        <w:ind w:left="510" w:hanging="510"/>
      </w:pPr>
      <w:r>
        <w:rPr>
          <w:b/>
          <w:sz w:val="18"/>
        </w:rPr>
        <w:t xml:space="preserve">[r27] </w:t>
      </w:r>
      <w:r>
        <w:rPr>
          <w:sz w:val="18"/>
        </w:rPr>
        <w:t xml:space="preserve">Farouk O, Krettek C, Miclau T, Schandelmaier P, Tscherne H. Effects of percutaneous and conventional plating techniques on the blood supply to the femur. Arch Orthop Trauma Surg 1998;117(8):438-41. doi:10.1007/s004020050288 </w:t>
      </w:r>
      <w:r>
        <w:rPr>
          <w:i/>
          <w:color w:val="5A6469"/>
          <w:sz w:val="17"/>
        </w:rPr>
        <w:t xml:space="preserve">(serie · acceso resumen) </w:t>
      </w:r>
      <w:hyperlink r:id="rId27">
        <w:r>
          <w:rPr>
            <w:color w:val="0563C1"/>
            <w:u w:val="single"/>
            <w:sz w:val="18"/>
          </w:rPr>
          <w:t xml:space="preserve">https://doi.org/10.1007/s004020050288</w:t>
        </w:r>
      </w:hyperlink>
    </w:p>
    <w:p>
      <w:pPr>
        <w:spacing w:after="60"/>
        <w:ind w:left="510" w:hanging="510"/>
      </w:pPr>
      <w:r>
        <w:rPr>
          <w:b/>
          <w:sz w:val="18"/>
        </w:rPr>
        <w:t xml:space="preserve">[r28] </w:t>
      </w:r>
      <w:r>
        <w:rPr>
          <w:sz w:val="18"/>
        </w:rPr>
        <w:t xml:space="preserve">Wang MT, An VVG, Sivakumar BS. Non-union in lateral locked plating for distal femoral fractures: A systematic review. Injury 2019;50(11):1790-1794. doi:10.1016/j.injury.2019.07.012 </w:t>
      </w:r>
      <w:r>
        <w:rPr>
          <w:i/>
          <w:color w:val="5A6469"/>
          <w:sz w:val="17"/>
        </w:rPr>
        <w:t xml:space="preserve">(RS-MA · acceso resumen) </w:t>
      </w:r>
      <w:hyperlink r:id="rId28">
        <w:r>
          <w:rPr>
            <w:color w:val="0563C1"/>
            <w:u w:val="single"/>
            <w:sz w:val="18"/>
          </w:rPr>
          <w:t xml:space="preserve">https://doi.org/10.1016/j.injury.2019.07.012</w:t>
        </w:r>
      </w:hyperlink>
    </w:p>
    <w:p>
      <w:pPr>
        <w:spacing w:after="60"/>
        <w:ind w:left="510" w:hanging="510"/>
      </w:pPr>
      <w:r>
        <w:rPr>
          <w:b/>
          <w:sz w:val="18"/>
        </w:rPr>
        <w:t xml:space="preserve">[r29] </w:t>
      </w:r>
      <w:r>
        <w:rPr>
          <w:sz w:val="18"/>
        </w:rPr>
        <w:t xml:space="preserve">National Institute for Health and Care Excellence. Hip fracture: management (NICE guideline CG124) [Internet]. Londres: NICE; 2011 [actualizada 2023 ene 6; consultado 2026 oct 12]. Disponible en: https://www.nice.org.uk/guidance/cg124 </w:t>
      </w:r>
      <w:r>
        <w:rPr>
          <w:i/>
          <w:color w:val="5A6469"/>
          <w:sz w:val="17"/>
        </w:rPr>
        <w:t xml:space="preserve">(guia · acceso abierto) </w:t>
      </w:r>
      <w:hyperlink r:id="rId32">
        <w:r>
          <w:rPr>
            <w:color w:val="0563C1"/>
            <w:u w:val="single"/>
            <w:sz w:val="18"/>
          </w:rPr>
          <w:t xml:space="preserve">https://www.nice.org.uk/guidance/cg124/chapter/Recommendations</w:t>
        </w:r>
      </w:hyperlink>
    </w:p>
    <w:p>
      <w:pPr>
        <w:spacing w:after="60"/>
        <w:ind w:left="510" w:hanging="510"/>
      </w:pPr>
      <w:r>
        <w:rPr>
          <w:b/>
          <w:sz w:val="18"/>
        </w:rPr>
        <w:t xml:space="preserve">[r30] </w:t>
      </w:r>
      <w:r>
        <w:rPr>
          <w:sz w:val="18"/>
        </w:rPr>
        <w:t xml:space="preserve">Tucker A, Donnelly KJ, Rowan C, McDonald S, Foster AP. Is the Best Plate a Nail? A Review of 3230 Unstable Intertrochanteric Fractures of the Proximal Femur. J Orthop Trauma 2018;32(2):53-60. doi:10.1097/BOT.0000000000001038 </w:t>
      </w:r>
      <w:r>
        <w:rPr>
          <w:i/>
          <w:color w:val="5A6469"/>
          <w:sz w:val="17"/>
        </w:rPr>
        <w:t xml:space="preserve">(cohorte · acceso resumen) </w:t>
      </w:r>
      <w:hyperlink r:id="rId37">
        <w:r>
          <w:rPr>
            <w:color w:val="0563C1"/>
            <w:u w:val="single"/>
            <w:sz w:val="18"/>
          </w:rPr>
          <w:t xml:space="preserve">https://doi.org/10.1097/BOT.0000000000001038</w:t>
        </w:r>
      </w:hyperlink>
    </w:p>
    <w:p>
      <w:pPr>
        <w:spacing w:after="60"/>
        <w:ind w:left="510" w:hanging="510"/>
      </w:pPr>
      <w:r>
        <w:rPr>
          <w:b/>
          <w:sz w:val="18"/>
        </w:rPr>
        <w:t xml:space="preserve">[r31] </w:t>
      </w:r>
      <w:r>
        <w:rPr>
          <w:sz w:val="18"/>
        </w:rPr>
        <w:t xml:space="preserve">Haidukewych GJ, Berry DJ. Nonunion of fractures of the subtrochanteric region of the femur. Clin Orthop Relat Res 2004;(419):185-8. doi:10.1097/00003086-200402000-00030 </w:t>
      </w:r>
      <w:r>
        <w:rPr>
          <w:i/>
          <w:color w:val="5A6469"/>
          <w:sz w:val="17"/>
        </w:rPr>
        <w:t xml:space="preserve">(serie · acceso resumen) </w:t>
      </w:r>
      <w:hyperlink r:id="rId38">
        <w:r>
          <w:rPr>
            <w:color w:val="0563C1"/>
            <w:u w:val="single"/>
            <w:sz w:val="18"/>
          </w:rPr>
          <w:t xml:space="preserve">https://doi.org/10.1097/00003086-200402000-00030</w:t>
        </w:r>
      </w:hyperlink>
    </w:p>
    <w:p>
      <w:pPr>
        <w:spacing w:after="60"/>
        <w:ind w:left="510" w:hanging="510"/>
      </w:pPr>
      <w:r>
        <w:rPr>
          <w:b/>
          <w:sz w:val="18"/>
        </w:rPr>
        <w:t xml:space="preserve">[r32] </w:t>
      </w:r>
      <w:r>
        <w:rPr>
          <w:sz w:val="18"/>
        </w:rPr>
        <w:t xml:space="preserve">Papakostidis C, Grotz MR, Papadokostakis G, Dimitriou R, Giannoudis PV. Femoral biologic plate fixation. Clin Orthop Relat Res 2006;450:193-202. doi:10.1097/01.blo.0000218760.19934.2b </w:t>
      </w:r>
      <w:r>
        <w:rPr>
          <w:i/>
          <w:color w:val="5A6469"/>
          <w:sz w:val="17"/>
        </w:rPr>
        <w:t xml:space="preserve">(RS-MA · acceso resumen) </w:t>
      </w:r>
      <w:hyperlink r:id="rId39">
        <w:r>
          <w:rPr>
            <w:color w:val="0563C1"/>
            <w:u w:val="single"/>
            <w:sz w:val="18"/>
          </w:rPr>
          <w:t xml:space="preserve">https://doi.org/10.1097/01.blo.0000218760.19934.2b</w:t>
        </w:r>
      </w:hyperlink>
    </w:p>
    <w:p>
      <w:pPr>
        <w:spacing w:after="60"/>
        <w:ind w:left="510" w:hanging="510"/>
      </w:pPr>
      <w:r>
        <w:rPr>
          <w:b/>
          <w:sz w:val="18"/>
        </w:rPr>
        <w:t xml:space="preserve">[r33] </w:t>
      </w:r>
      <w:r>
        <w:rPr>
          <w:sz w:val="18"/>
        </w:rPr>
        <w:t xml:space="preserve">Jin YF, Xu HC, Shen ZH, Pan XK, Xie H. Comparing Augmentative Plating and Exchange Nailing for the Treatment of Nonunion of Femoral Shaft Fracture after Intramedullary Nailing: A Meta-analysis. Orthop Surg 2020;12(1):50-57. doi:10.1111/os.12580 </w:t>
      </w:r>
      <w:r>
        <w:rPr>
          <w:i/>
          <w:color w:val="5A6469"/>
          <w:sz w:val="17"/>
        </w:rPr>
        <w:t xml:space="preserve">(RS-MA · acceso abierto) </w:t>
      </w:r>
      <w:hyperlink r:id="rId40">
        <w:r>
          <w:rPr>
            <w:color w:val="0563C1"/>
            <w:u w:val="single"/>
            <w:sz w:val="18"/>
          </w:rPr>
          <w:t xml:space="preserve">https://doi.org/10.1111/os.12580</w:t>
        </w:r>
      </w:hyperlink>
    </w:p>
    <w:p>
      <w:pPr>
        <w:spacing w:after="60"/>
        <w:ind w:left="510" w:hanging="510"/>
      </w:pPr>
      <w:r>
        <w:rPr>
          <w:b/>
          <w:sz w:val="18"/>
        </w:rPr>
        <w:t xml:space="preserve">[r34] </w:t>
      </w:r>
      <w:r>
        <w:rPr>
          <w:sz w:val="18"/>
        </w:rPr>
        <w:t xml:space="preserve">Kregor PJ, Stannard JA, Zlowodzki M, Cole PA. Treatment of distal femur fractures using the less invasive stabilization system: surgical experience and early clinical results in 103 fractures. J Orthop Trauma 2004;18(8):509-20. doi:10.1097/00005131-200409000-00006 </w:t>
      </w:r>
      <w:r>
        <w:rPr>
          <w:i/>
          <w:color w:val="5A6469"/>
          <w:sz w:val="17"/>
        </w:rPr>
        <w:t xml:space="preserve">(serie · acceso resumen) </w:t>
      </w:r>
      <w:hyperlink r:id="rId41">
        <w:r>
          <w:rPr>
            <w:color w:val="0563C1"/>
            <w:u w:val="single"/>
            <w:sz w:val="18"/>
          </w:rPr>
          <w:t xml:space="preserve">https://doi.org/10.1097/00005131-200409000-00006</w:t>
        </w:r>
      </w:hyperlink>
    </w:p>
    <w:p>
      <w:pPr>
        <w:spacing w:after="60"/>
        <w:ind w:left="510" w:hanging="510"/>
      </w:pPr>
      <w:r>
        <w:rPr>
          <w:b/>
          <w:sz w:val="18"/>
        </w:rPr>
        <w:t xml:space="preserve">[r35] </w:t>
      </w:r>
      <w:r>
        <w:rPr>
          <w:sz w:val="18"/>
        </w:rPr>
        <w:t xml:space="preserve">Yuan BJ, Shearer DW, Barei DP, Nork SE. Intertrochanteric Osteotomy for Femoral Neck Nonunion: Does "Undercorrection" Result in an Acceptable Rate of Femoral Neck Union? J Orthop Trauma 2017;31(8):420-426. doi:10.1097/BOT.0000000000000869 </w:t>
      </w:r>
      <w:r>
        <w:rPr>
          <w:i/>
          <w:color w:val="5A6469"/>
          <w:sz w:val="17"/>
        </w:rPr>
        <w:t xml:space="preserve">(cohorte · acceso resumen) </w:t>
      </w:r>
      <w:hyperlink r:id="rId42">
        <w:r>
          <w:rPr>
            <w:color w:val="0563C1"/>
            <w:u w:val="single"/>
            <w:sz w:val="18"/>
          </w:rPr>
          <w:t xml:space="preserve">https://doi.org/10.1097/BOT.0000000000000869</w:t>
        </w:r>
      </w:hyperlink>
    </w:p>
    <w:p>
      <w:pPr>
        <w:spacing w:after="60"/>
        <w:ind w:left="510" w:hanging="510"/>
      </w:pPr>
      <w:r>
        <w:rPr>
          <w:b/>
          <w:sz w:val="18"/>
        </w:rPr>
        <w:t xml:space="preserve">[r36] </w:t>
      </w:r>
      <w:r>
        <w:rPr>
          <w:sz w:val="18"/>
        </w:rPr>
        <w:t xml:space="preserve">Oladeji AK, Cummings J, Minaie A, Landau AJ, Gordon JE, Hosseinzadeh P. Blade plate versus locking plate fixation of proximal femoral varus osteotomy in children with cerebral palsy. J Pediatr Orthop B 2023;32(1):72-79. doi:10.1097/BPB.0000000000000962 </w:t>
      </w:r>
      <w:r>
        <w:rPr>
          <w:i/>
          <w:color w:val="5A6469"/>
          <w:sz w:val="17"/>
        </w:rPr>
        <w:t xml:space="preserve">(cohorte · acceso resumen) </w:t>
      </w:r>
      <w:hyperlink r:id="rId43">
        <w:r>
          <w:rPr>
            <w:color w:val="0563C1"/>
            <w:u w:val="single"/>
            <w:sz w:val="18"/>
          </w:rPr>
          <w:t xml:space="preserve">https://doi.org/10.1097/BPB.0000000000000962</w:t>
        </w:r>
      </w:hyperlink>
    </w:p>
    <w:p>
      <w:pPr>
        <w:spacing w:after="60"/>
        <w:ind w:left="510" w:hanging="510"/>
      </w:pPr>
      <w:r>
        <w:rPr>
          <w:b/>
          <w:sz w:val="18"/>
        </w:rPr>
        <w:t xml:space="preserve">[r37] </w:t>
      </w:r>
      <w:r>
        <w:rPr>
          <w:sz w:val="18"/>
        </w:rPr>
        <w:t xml:space="preserve">Le Baron M, Battut T, Bégué T, Ehlinger M, Flecher X, SOFCOT. Minimally invasive surgery of femoral periprosthetic fractures increases the rate of consolidation and decreases time to bone healing without a higher rate of complications. Orthop Traumatol Surg Res 2024;110(7):103866. doi:10.1016/j.otsr.2024.103866 </w:t>
      </w:r>
      <w:r>
        <w:rPr>
          <w:i/>
          <w:color w:val="5A6469"/>
          <w:sz w:val="17"/>
        </w:rPr>
        <w:t xml:space="preserve">(cohorte · acceso resumen) </w:t>
      </w:r>
      <w:hyperlink r:id="rId44">
        <w:r>
          <w:rPr>
            <w:color w:val="0563C1"/>
            <w:u w:val="single"/>
            <w:sz w:val="18"/>
          </w:rPr>
          <w:t xml:space="preserve">https://doi.org/10.1016/j.otsr.2024.103866</w:t>
        </w:r>
      </w:hyperlink>
    </w:p>
    <w:p>
      <w:pPr>
        <w:spacing w:after="60"/>
        <w:ind w:left="510" w:hanging="510"/>
      </w:pPr>
      <w:r>
        <w:rPr>
          <w:b/>
          <w:sz w:val="18"/>
        </w:rPr>
        <w:t xml:space="preserve">[r38] </w:t>
      </w:r>
      <w:r>
        <w:rPr>
          <w:sz w:val="18"/>
        </w:rPr>
        <w:t xml:space="preserve">Subramanian T, Halayqeh S, Mazzucco M, Cahill MJ, Eurich J, Gausden EB, et al. Plate Versus Nail Fixation in Periprosthetic Distal Femur Fractures: An Updated Systematic Review and Meta-Analysis. HSS J. 2026 sep 3:15563316261481420. Publicado en línea antes de impresión. doi:10.1177/15563316261481420 </w:t>
      </w:r>
      <w:r>
        <w:rPr>
          <w:i/>
          <w:color w:val="5A6469"/>
          <w:sz w:val="17"/>
        </w:rPr>
        <w:t xml:space="preserve">(RS-MA · acceso resumen) </w:t>
      </w:r>
      <w:hyperlink r:id="rId45">
        <w:r>
          <w:rPr>
            <w:color w:val="0563C1"/>
            <w:u w:val="single"/>
            <w:sz w:val="18"/>
          </w:rPr>
          <w:t xml:space="preserve">https://doi.org/10.1177/15563316261481420</w:t>
        </w:r>
      </w:hyperlink>
    </w:p>
    <w:p>
      <w:pPr>
        <w:spacing w:after="60"/>
        <w:ind w:left="510" w:hanging="510"/>
      </w:pPr>
      <w:r>
        <w:rPr>
          <w:b/>
          <w:sz w:val="18"/>
        </w:rPr>
        <w:t xml:space="preserve">[r39] </w:t>
      </w:r>
      <w:r>
        <w:rPr>
          <w:sz w:val="18"/>
        </w:rPr>
        <w:t xml:space="preserve">Paulsson M, Ekholm C, Tranberg R, Rolfson O, Geijer M. Using a Traction Table for Fracture Reduction during Minimally Invasive Plate Osteosynthesis (MIPO) of Distal Femoral Fractures Provides Anatomical Alignment. J Clin Med 2023;12(12):4044. doi:10.3390/jcm12124044 </w:t>
      </w:r>
      <w:r>
        <w:rPr>
          <w:i/>
          <w:color w:val="5A6469"/>
          <w:sz w:val="17"/>
        </w:rPr>
        <w:t xml:space="preserve">(serie · acceso abierto) </w:t>
      </w:r>
      <w:hyperlink r:id="rId51">
        <w:r>
          <w:rPr>
            <w:color w:val="0563C1"/>
            <w:u w:val="single"/>
            <w:sz w:val="18"/>
          </w:rPr>
          <w:t xml:space="preserve">https://doi.org/10.3390/jcm12124044</w:t>
        </w:r>
      </w:hyperlink>
    </w:p>
    <w:p>
      <w:pPr>
        <w:spacing w:after="60"/>
        <w:ind w:left="510" w:hanging="510"/>
      </w:pPr>
      <w:r>
        <w:rPr>
          <w:b/>
          <w:sz w:val="18"/>
        </w:rPr>
        <w:t xml:space="preserve">[r40] </w:t>
      </w:r>
      <w:r>
        <w:rPr>
          <w:sz w:val="18"/>
        </w:rPr>
        <w:t xml:space="preserve">Levine AR, Klug T, Cross J, Salameh M, Riedel M, Leslie M. Risk factors for cut-throughs in intertrochanteric hip fracture fixation Tip-Apex Distance (TAD) &lt;10 mm and Apex-to-Center &lt;4 mm. Injury 2025;56(3):112205. doi:10.1016/j.injury.2025.112205 </w:t>
      </w:r>
      <w:r>
        <w:rPr>
          <w:i/>
          <w:color w:val="5A6469"/>
          <w:sz w:val="17"/>
        </w:rPr>
        <w:t xml:space="preserve">(cohorte · acceso resumen) </w:t>
      </w:r>
      <w:hyperlink r:id="rId52">
        <w:r>
          <w:rPr>
            <w:color w:val="0563C1"/>
            <w:u w:val="single"/>
            <w:sz w:val="18"/>
          </w:rPr>
          <w:t xml:space="preserve">https://doi.org/10.1016/j.injury.2025.112205</w:t>
        </w:r>
      </w:hyperlink>
    </w:p>
    <w:p>
      <w:pPr>
        <w:spacing w:after="60"/>
        <w:ind w:left="510" w:hanging="510"/>
      </w:pPr>
      <w:r>
        <w:rPr>
          <w:b/>
          <w:sz w:val="18"/>
        </w:rPr>
        <w:t xml:space="preserve">[r41] </w:t>
      </w:r>
      <w:r>
        <w:rPr>
          <w:sz w:val="18"/>
        </w:rPr>
        <w:t xml:space="preserve">Ni Y, Zhang Y, Ren J. Comparative Efficacy of Interlocking Intramedullary Nails and Percutaneous Plate Implantation in the Treatment of Femoral Shaft Fractures: A Meta-Analysis. Ann Ital Chir 2024;95(5):744-759. doi:10.62713/aic.3577 </w:t>
      </w:r>
      <w:r>
        <w:rPr>
          <w:i/>
          <w:color w:val="5A6469"/>
          <w:sz w:val="17"/>
        </w:rPr>
        <w:t xml:space="preserve">(RS-MA · acceso resumen) </w:t>
      </w:r>
      <w:hyperlink r:id="rId55">
        <w:r>
          <w:rPr>
            <w:color w:val="0563C1"/>
            <w:u w:val="single"/>
            <w:sz w:val="18"/>
          </w:rPr>
          <w:t xml:space="preserve">https://doi.org/10.62713/aic.3577</w:t>
        </w:r>
      </w:hyperlink>
    </w:p>
    <w:p>
      <w:pPr>
        <w:spacing w:after="60"/>
        <w:ind w:left="510" w:hanging="510"/>
      </w:pPr>
      <w:r>
        <w:rPr>
          <w:b/>
          <w:sz w:val="18"/>
        </w:rPr>
        <w:t xml:space="preserve">[r42] </w:t>
      </w:r>
      <w:r>
        <w:rPr>
          <w:sz w:val="18"/>
        </w:rPr>
        <w:t xml:space="preserve">Wessels JO, Bjarnesen MP, Erichsen JL, Palm H, Gundtoft PH, Viberg B. Sliding hip screw vs intramedullary nail for AO/OTA31A1-A3: a systematic review and meta-analysis. Injury 2022;53(3):1149-1159. doi:10.1016/j.injury.2021.12.034 </w:t>
      </w:r>
      <w:r>
        <w:rPr>
          <w:i/>
          <w:color w:val="5A6469"/>
          <w:sz w:val="17"/>
        </w:rPr>
        <w:t xml:space="preserve">(RS-MA · acceso resumen) </w:t>
      </w:r>
      <w:hyperlink r:id="rId56">
        <w:r>
          <w:rPr>
            <w:color w:val="0563C1"/>
            <w:u w:val="single"/>
            <w:sz w:val="18"/>
          </w:rPr>
          <w:t xml:space="preserve">https://doi.org/10.1016/j.injury.2021.12.034</w:t>
        </w:r>
      </w:hyperlink>
    </w:p>
    <w:p>
      <w:pPr>
        <w:spacing w:after="60"/>
        <w:ind w:left="510" w:hanging="510"/>
      </w:pPr>
      <w:r>
        <w:rPr>
          <w:b/>
          <w:sz w:val="18"/>
        </w:rPr>
        <w:t xml:space="preserve">[r43] </w:t>
      </w:r>
      <w:r>
        <w:rPr>
          <w:sz w:val="18"/>
        </w:rPr>
        <w:t xml:space="preserve">Ekwunife RT, Iyidobi EC, Enweani UN, Nwadinigwe CU, Okwesili CI, Ekwedigwe HC, et al. Comparative prospective study of early outcomes after osteosynthesis with locked intramedullary nailing or plating for closed femoral shaft fractures at the National Orthopaedic Hospital Enugu, Nigeria. Int Orthop 2022;46(1):13-19. doi:10.1007/s00264-020-04746-z </w:t>
      </w:r>
      <w:r>
        <w:rPr>
          <w:i/>
          <w:color w:val="5A6469"/>
          <w:sz w:val="17"/>
        </w:rPr>
        <w:t xml:space="preserve">(ECA · acceso resumen) </w:t>
      </w:r>
      <w:hyperlink r:id="rId57">
        <w:r>
          <w:rPr>
            <w:color w:val="0563C1"/>
            <w:u w:val="single"/>
            <w:sz w:val="18"/>
          </w:rPr>
          <w:t xml:space="preserve">https://doi.org/10.1007/s00264-020-04746-z</w:t>
        </w:r>
      </w:hyperlink>
    </w:p>
    <w:p>
      <w:pPr>
        <w:spacing w:after="60"/>
        <w:ind w:left="510" w:hanging="510"/>
      </w:pPr>
      <w:r>
        <w:rPr>
          <w:b/>
          <w:sz w:val="18"/>
        </w:rPr>
        <w:t xml:space="preserve">[r44] </w:t>
      </w:r>
      <w:r>
        <w:rPr>
          <w:sz w:val="18"/>
        </w:rPr>
        <w:t xml:space="preserve">Pollmann CT, Dahl FA, Røtterud JHM, Gjertsen JE, Årøen A. Surgical site infection after hip fracture - mortality and risk factors: an observational cohort study of 1,709 patients. Acta Orthop 2020;91(3):347-352. doi:10.1080/17453674.2020.1717841 </w:t>
      </w:r>
      <w:r>
        <w:rPr>
          <w:i/>
          <w:color w:val="5A6469"/>
          <w:sz w:val="17"/>
        </w:rPr>
        <w:t xml:space="preserve">(cohorte · acceso abierto) </w:t>
      </w:r>
      <w:hyperlink r:id="rId59">
        <w:r>
          <w:rPr>
            <w:color w:val="0563C1"/>
            <w:u w:val="single"/>
            <w:sz w:val="18"/>
          </w:rPr>
          <w:t xml:space="preserve">https://doi.org/10.1080/17453674.2020.1717841</w:t>
        </w:r>
      </w:hyperlink>
    </w:p>
    <w:p>
      <w:pPr>
        <w:spacing w:after="60"/>
        <w:ind w:left="510" w:hanging="510"/>
      </w:pPr>
      <w:r>
        <w:rPr>
          <w:b/>
          <w:sz w:val="18"/>
        </w:rPr>
        <w:t xml:space="preserve">[r45] </w:t>
      </w:r>
      <w:r>
        <w:rPr>
          <w:sz w:val="18"/>
        </w:rPr>
        <w:t xml:space="preserve">Rubio-Avila J, Madden K, Simunovic N, Bhandari M. Tip to apex distance in femoral intertrochanteric fractures: a systematic review. J Orthop Sci 2013;18(4):592-8. doi:10.1007/s00776-013-0402-5 </w:t>
      </w:r>
      <w:r>
        <w:rPr>
          <w:i/>
          <w:color w:val="5A6469"/>
          <w:sz w:val="17"/>
        </w:rPr>
        <w:t xml:space="preserve">(RS-MA · acceso resumen) </w:t>
      </w:r>
      <w:hyperlink r:id="rId60">
        <w:r>
          <w:rPr>
            <w:color w:val="0563C1"/>
            <w:u w:val="single"/>
            <w:sz w:val="18"/>
          </w:rPr>
          <w:t xml:space="preserve">https://doi.org/10.1007/s00776-013-0402-5</w:t>
        </w:r>
      </w:hyperlink>
    </w:p>
    <w:p>
      <w:pPr>
        <w:spacing w:after="60"/>
        <w:ind w:left="510" w:hanging="510"/>
      </w:pPr>
      <w:r>
        <w:rPr>
          <w:b/>
          <w:sz w:val="18"/>
        </w:rPr>
        <w:t xml:space="preserve">[r46] </w:t>
      </w:r>
      <w:r>
        <w:rPr>
          <w:sz w:val="18"/>
        </w:rPr>
        <w:t xml:space="preserve">Daher M, Parsons A, Mauffrey C, Richard R. Nail-plate combination versus single construct for the management of distal femoral fractures: a meta-analysis. Eur J Orthop Surg Traumatol 2025;35(1):124. doi:10.1007/s00590-025-04239-y </w:t>
      </w:r>
      <w:r>
        <w:rPr>
          <w:i/>
          <w:color w:val="5A6469"/>
          <w:sz w:val="17"/>
        </w:rPr>
        <w:t xml:space="preserve">(RS-MA · acceso resumen) </w:t>
      </w:r>
      <w:hyperlink r:id="rId63">
        <w:r>
          <w:rPr>
            <w:color w:val="0563C1"/>
            <w:u w:val="single"/>
            <w:sz w:val="18"/>
          </w:rPr>
          <w:t xml:space="preserve">https://doi.org/10.1007/s00590-025-04239-y</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Abordaje lateral del fémur proximal y de la diáfisis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surgeryreference.aofoundation.org/orthopedic-trauma/adult-trauma/femoral-shaft/approach/lateral-approach" TargetMode="External"/><Relationship Id="rId12" Type="http://schemas.openxmlformats.org/officeDocument/2006/relationships/hyperlink" Target="https://surgeryreference.aofoundation.org/orthopedic-trauma/adult-trauma/distal-femur/approach/lateral-anterolateral-approach-to-the-distal-femur" TargetMode="External"/><Relationship Id="rId13" Type="http://schemas.openxmlformats.org/officeDocument/2006/relationships/hyperlink" Target="https://surgeryreference.aofoundation.org/orthopedic-trauma/adult-trauma/proximal-femur/approach/limited-lateral-approach-for-implant-insertion" TargetMode="External"/><Relationship Id="rId14" Type="http://schemas.openxmlformats.org/officeDocument/2006/relationships/hyperlink" Target="https://surgeryreference.aofoundation.org/orthopedic-trauma/adult-trauma/distal-femur/approach/mipo-approach-to-the-distal-femur-from-lateral-anterolateral" TargetMode="External"/><Relationship Id="rId15" Type="http://schemas.openxmlformats.org/officeDocument/2006/relationships/hyperlink" Target="https://surgeryreference.aofoundation.org/orthopedic-trauma/adult-trauma/femoral-shaft/approach/minimally-invasive-osteosynthesis-approach" TargetMode="External"/><Relationship Id="rId16" Type="http://schemas.openxmlformats.org/officeDocument/2006/relationships/image" Target="media/image1.png"/><Relationship Id="rId17" Type="http://schemas.openxmlformats.org/officeDocument/2006/relationships/hyperlink" Target="https://doi.org/10.1002/ca.23398" TargetMode="External"/><Relationship Id="rId18" Type="http://schemas.openxmlformats.org/officeDocument/2006/relationships/hyperlink" Target="https://www.ncbi.nlm.nih.gov/books/NBK556057/" TargetMode="External"/><Relationship Id="rId19" Type="http://schemas.openxmlformats.org/officeDocument/2006/relationships/hyperlink" Target="https://doi.org/10.1016/j.injury.2015.09.029" TargetMode="External"/><Relationship Id="rId20" Type="http://schemas.openxmlformats.org/officeDocument/2006/relationships/hyperlink" Target="https://doi.org/10.1016/j.injury.2019.01.010" TargetMode="External"/><Relationship Id="rId21" Type="http://schemas.openxmlformats.org/officeDocument/2006/relationships/hyperlink" Target="https://surgeryreference.aofoundation.org/orthopedic-trauma/adult-trauma/proximal-femur/approach/direct-lateral-approach" TargetMode="External"/><Relationship Id="rId22" Type="http://schemas.openxmlformats.org/officeDocument/2006/relationships/hyperlink" Target="https://doi.org/10.1007/s00402-007-0449-x" TargetMode="External"/><Relationship Id="rId23" Type="http://schemas.openxmlformats.org/officeDocument/2006/relationships/hyperlink" Target="https://doi.org/10.1007/s001130050395" TargetMode="External"/><Relationship Id="rId24" Type="http://schemas.openxmlformats.org/officeDocument/2006/relationships/hyperlink" Target="https://doi.org/10.1097/GOX.0000000000005611" TargetMode="External"/><Relationship Id="rId25" Type="http://schemas.openxmlformats.org/officeDocument/2006/relationships/hyperlink" Target="https://doi.org/10.1097/00005131-199908000-00002" TargetMode="External"/><Relationship Id="rId26" Type="http://schemas.openxmlformats.org/officeDocument/2006/relationships/hyperlink" Target="https://doi.org/10.1097/TA.0b013e318154c0b4" TargetMode="External"/><Relationship Id="rId27" Type="http://schemas.openxmlformats.org/officeDocument/2006/relationships/hyperlink" Target="https://doi.org/10.1007/s004020050288" TargetMode="External"/><Relationship Id="rId28" Type="http://schemas.openxmlformats.org/officeDocument/2006/relationships/hyperlink" Target="https://doi.org/10.1016/j.injury.2019.07.012" TargetMode="External"/><Relationship Id="rId29" Type="http://schemas.openxmlformats.org/officeDocument/2006/relationships/hyperlink" Target="https://doi.org/10.1016/j.injury.2017.01.019" TargetMode="External"/><Relationship Id="rId30" Type="http://schemas.openxmlformats.org/officeDocument/2006/relationships/hyperlink" Target="https://www.aaos.org/hipfxcpg" TargetMode="External"/><Relationship Id="rId31" Type="http://schemas.openxmlformats.org/officeDocument/2006/relationships/hyperlink" Target="https://doi.org/10.1302/0301-620X.95B8.31495" TargetMode="External"/><Relationship Id="rId32" Type="http://schemas.openxmlformats.org/officeDocument/2006/relationships/hyperlink" Target="https://www.nice.org.uk/guidance/cg124/chapter/Recommendations" TargetMode="External"/><Relationship Id="rId33" Type="http://schemas.openxmlformats.org/officeDocument/2006/relationships/hyperlink" Target="https://doi.org/10.1002/14651858.CD000093.pub6" TargetMode="External"/><Relationship Id="rId34" Type="http://schemas.openxmlformats.org/officeDocument/2006/relationships/hyperlink" Target="https://doi.org/10.1007/s00264-008-0603-2" TargetMode="External"/><Relationship Id="rId35" Type="http://schemas.openxmlformats.org/officeDocument/2006/relationships/hyperlink" Target="https://doi.org/10.2106/00004623-200105000-00001" TargetMode="External"/><Relationship Id="rId36" Type="http://schemas.openxmlformats.org/officeDocument/2006/relationships/hyperlink" Target="https://doi.org/10.1007/s00264-018-3864-4" TargetMode="External"/><Relationship Id="rId37" Type="http://schemas.openxmlformats.org/officeDocument/2006/relationships/hyperlink" Target="https://doi.org/10.1097/BOT.0000000000001038" TargetMode="External"/><Relationship Id="rId38" Type="http://schemas.openxmlformats.org/officeDocument/2006/relationships/hyperlink" Target="https://doi.org/10.1097/00003086-200402000-00030" TargetMode="External"/><Relationship Id="rId39" Type="http://schemas.openxmlformats.org/officeDocument/2006/relationships/hyperlink" Target="https://doi.org/10.1097/01.blo.0000218760.19934.2b" TargetMode="External"/><Relationship Id="rId40" Type="http://schemas.openxmlformats.org/officeDocument/2006/relationships/hyperlink" Target="https://doi.org/10.1111/os.12580" TargetMode="External"/><Relationship Id="rId41" Type="http://schemas.openxmlformats.org/officeDocument/2006/relationships/hyperlink" Target="https://doi.org/10.1097/00005131-200409000-00006" TargetMode="External"/><Relationship Id="rId42" Type="http://schemas.openxmlformats.org/officeDocument/2006/relationships/hyperlink" Target="https://doi.org/10.1097/BOT.0000000000000869" TargetMode="External"/><Relationship Id="rId43" Type="http://schemas.openxmlformats.org/officeDocument/2006/relationships/hyperlink" Target="https://doi.org/10.1097/BPB.0000000000000962" TargetMode="External"/><Relationship Id="rId44" Type="http://schemas.openxmlformats.org/officeDocument/2006/relationships/hyperlink" Target="https://doi.org/10.1016/j.otsr.2024.103866" TargetMode="External"/><Relationship Id="rId45" Type="http://schemas.openxmlformats.org/officeDocument/2006/relationships/hyperlink" Target="https://doi.org/10.1177/15563316261481420" TargetMode="External"/><Relationship Id="rId46" Type="http://schemas.openxmlformats.org/officeDocument/2006/relationships/image" Target="media/image2.png"/><Relationship Id="rId47" Type="http://schemas.openxmlformats.org/officeDocument/2006/relationships/hyperlink" Target="https://doi.org/10.2106/00004623-199507000-00012" TargetMode="External"/><Relationship Id="rId48" Type="http://schemas.openxmlformats.org/officeDocument/2006/relationships/hyperlink" Target="https://doi.org/10.1007/s00068-015-0595-8" TargetMode="External"/><Relationship Id="rId49" Type="http://schemas.openxmlformats.org/officeDocument/2006/relationships/hyperlink" Target="https://doi.org/10.2106/JBJS.ST.19.00038" TargetMode="External"/><Relationship Id="rId50" Type="http://schemas.openxmlformats.org/officeDocument/2006/relationships/hyperlink" Target="https://doi.org/10.1186/s13037-023-00355-y" TargetMode="External"/><Relationship Id="rId51" Type="http://schemas.openxmlformats.org/officeDocument/2006/relationships/hyperlink" Target="https://doi.org/10.3390/jcm12124044" TargetMode="External"/><Relationship Id="rId52" Type="http://schemas.openxmlformats.org/officeDocument/2006/relationships/hyperlink" Target="https://doi.org/10.1016/j.injury.2025.112205" TargetMode="External"/><Relationship Id="rId53" Type="http://schemas.openxmlformats.org/officeDocument/2006/relationships/image" Target="media/image3.png"/><Relationship Id="rId54" Type="http://schemas.openxmlformats.org/officeDocument/2006/relationships/image" Target="media/image4.png"/><Relationship Id="rId55" Type="http://schemas.openxmlformats.org/officeDocument/2006/relationships/hyperlink" Target="https://doi.org/10.62713/aic.3577" TargetMode="External"/><Relationship Id="rId56" Type="http://schemas.openxmlformats.org/officeDocument/2006/relationships/hyperlink" Target="https://doi.org/10.1016/j.injury.2021.12.034" TargetMode="External"/><Relationship Id="rId57" Type="http://schemas.openxmlformats.org/officeDocument/2006/relationships/hyperlink" Target="https://doi.org/10.1007/s00264-020-04746-z" TargetMode="External"/><Relationship Id="rId58" Type="http://schemas.openxmlformats.org/officeDocument/2006/relationships/image" Target="media/image5.png"/><Relationship Id="rId59" Type="http://schemas.openxmlformats.org/officeDocument/2006/relationships/hyperlink" Target="https://doi.org/10.1080/17453674.2020.1717841" TargetMode="External"/><Relationship Id="rId60" Type="http://schemas.openxmlformats.org/officeDocument/2006/relationships/hyperlink" Target="https://doi.org/10.1007/s00776-013-0402-5" TargetMode="External"/><Relationship Id="rId61" Type="http://schemas.openxmlformats.org/officeDocument/2006/relationships/image" Target="media/image6.png"/><Relationship Id="rId62" Type="http://schemas.openxmlformats.org/officeDocument/2006/relationships/hyperlink" Target="https://surgeryreference.aofoundation.org/orthopedic-trauma/adult-trauma/femoral-shaft/approach/all-approaches" TargetMode="External"/><Relationship Id="rId63" Type="http://schemas.openxmlformats.org/officeDocument/2006/relationships/hyperlink" Target="https://doi.org/10.1007/s00590-025-04239-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Abordaje lateral del fémur proximal y de la diáfisis</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