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Abordaje lateral transdeltoideo del hombro: ventana, nervio axilar, MIPO y comparación con el deltopectoral</w:t>
      </w:r>
    </w:p>
    <w:p>
      <w:r>
        <w:rPr>
          <w:sz w:val="24"/>
        </w:rPr>
        <w:t>Abordajes · Abordajes miembro superior · Nivel R2-R4</w:t>
      </w:r>
    </w:p>
    <w:p>
      <w:r>
        <w:t>Actualizado: 2026-10-12</w:t>
      </w:r>
    </w:p>
    <w:p>
      <w:r>
        <w:rPr>
          <w:color w:val="5A6469"/>
          <w:sz w:val="20"/>
        </w:rPr>
        <w:t>Verificación independiente: Claude Opus 5.5 (verificador independiente, segundo modelo) · 2026-10-12 · 710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Anatomía quirúrgica</w:t>
      </w:r>
    </w:p>
    <w:p>
      <w:pPr>
        <w:spacing w:after="60"/>
        <w:ind w:left="510" w:hanging="340"/>
      </w:pPr>
      <w:r>
        <w:rPr>
          <w:b/>
        </w:rPr>
        <w:t xml:space="preserve">7. </w:t>
      </w:r>
      <w:r>
        <w:rPr/>
        <w:t>Variantes: la distancia del nervio no es una constante</w:t>
      </w:r>
    </w:p>
    <w:p>
      <w:pPr>
        <w:spacing w:after="60"/>
        <w:ind w:left="510" w:hanging="340"/>
      </w:pPr>
      <w:r>
        <w:rPr>
          <w:b/>
        </w:rPr>
        <w:t xml:space="preserve">8. </w:t>
      </w:r>
      <w:r>
        <w:rPr/>
        <w:t>Biomecánica: por qué el nervio se daña sin cortarlo</w:t>
      </w:r>
    </w:p>
    <w:p>
      <w:pPr>
        <w:spacing w:after="60"/>
        <w:ind w:left="510" w:hanging="340"/>
      </w:pPr>
      <w:r>
        <w:rPr>
          <w:b/>
        </w:rPr>
        <w:t xml:space="preserve">9. </w:t>
      </w:r>
      <w:r>
        <w:rPr/>
        <w:t>Examen físico</w:t>
      </w:r>
    </w:p>
    <w:p>
      <w:pPr>
        <w:spacing w:after="60"/>
        <w:ind w:left="510" w:hanging="340"/>
      </w:pPr>
      <w:r>
        <w:rPr>
          <w:b/>
        </w:rPr>
        <w:t xml:space="preserve">10. </w:t>
      </w:r>
      <w:r>
        <w:rPr/>
        <w:t>Imágenes</w:t>
      </w:r>
    </w:p>
    <w:p>
      <w:pPr>
        <w:spacing w:after="60"/>
        <w:ind w:left="510" w:hanging="340"/>
      </w:pPr>
      <w:r>
        <w:rPr>
          <w:b/>
        </w:rPr>
        <w:t xml:space="preserve">11. </w:t>
      </w:r>
      <w:r>
        <w:rPr/>
        <w:t>Indicaciones: cuándo conviene esta vía</w:t>
      </w:r>
    </w:p>
    <w:p>
      <w:pPr>
        <w:spacing w:after="60"/>
        <w:ind w:left="510" w:hanging="340"/>
      </w:pPr>
      <w:r>
        <w:rPr>
          <w:b/>
        </w:rPr>
        <w:t xml:space="preserve">12. </w:t>
      </w:r>
      <w:r>
        <w:rPr/>
        <w:t>Algoritmo de decisión</w:t>
      </w:r>
    </w:p>
    <w:p>
      <w:pPr>
        <w:spacing w:after="60"/>
        <w:ind w:left="510" w:hanging="340"/>
      </w:pPr>
      <w:r>
        <w:rPr>
          <w:b/>
        </w:rPr>
        <w:t xml:space="preserve">13. </w:t>
      </w:r>
      <w:r>
        <w:rPr/>
        <w:t>Tratamiento</w:t>
      </w:r>
    </w:p>
    <w:p>
      <w:pPr>
        <w:spacing w:after="60"/>
        <w:ind w:left="510" w:hanging="340"/>
      </w:pPr>
      <w:r>
        <w:rPr>
          <w:b/>
        </w:rPr>
        <w:t xml:space="preserve">14. </w:t>
      </w:r>
      <w:r>
        <w:rPr/>
        <w:t>Técnica: paso a paso</w:t>
      </w:r>
    </w:p>
    <w:p>
      <w:pPr>
        <w:spacing w:after="60"/>
        <w:ind w:left="510" w:hanging="340"/>
      </w:pPr>
      <w:r>
        <w:rPr>
          <w:b/>
        </w:rPr>
        <w:t xml:space="preserve">15. </w:t>
      </w:r>
      <w:r>
        <w:rPr/>
        <w:t>Ventanas y ampliaciones del abordaje</w:t>
      </w:r>
    </w:p>
    <w:p>
      <w:pPr>
        <w:spacing w:after="60"/>
        <w:ind w:left="510" w:hanging="340"/>
      </w:pPr>
      <w:r>
        <w:rPr>
          <w:b/>
        </w:rPr>
        <w:t xml:space="preserve">16. </w:t>
      </w:r>
      <w:r>
        <w:rPr/>
        <w:t>Comparación con el deltopectoral</w:t>
      </w:r>
    </w:p>
    <w:p>
      <w:pPr>
        <w:spacing w:after="60"/>
        <w:ind w:left="510" w:hanging="340"/>
      </w:pPr>
      <w:r>
        <w:rPr>
          <w:b/>
        </w:rPr>
        <w:t xml:space="preserve">17. </w:t>
      </w:r>
      <w:r>
        <w:rPr/>
        <w:t>Complicaciones</w:t>
      </w:r>
    </w:p>
    <w:p>
      <w:pPr>
        <w:spacing w:after="60"/>
        <w:ind w:left="510" w:hanging="340"/>
      </w:pPr>
      <w:r>
        <w:rPr>
          <w:b/>
        </w:rPr>
        <w:t xml:space="preserve">18. </w:t>
      </w:r>
      <w:r>
        <w:rPr/>
        <w:t>Pronóstico</w:t>
      </w:r>
    </w:p>
    <w:p>
      <w:pPr>
        <w:spacing w:after="60"/>
        <w:ind w:left="510" w:hanging="340"/>
      </w:pPr>
      <w:r>
        <w:rPr>
          <w:b/>
        </w:rPr>
        <w:t xml:space="preserve">19. </w:t>
      </w:r>
      <w:r>
        <w:rPr/>
        <w:t>Rehabilitación</w:t>
      </w:r>
    </w:p>
    <w:p>
      <w:pPr>
        <w:spacing w:after="60"/>
        <w:ind w:left="510" w:hanging="340"/>
      </w:pPr>
      <w:r>
        <w:rPr>
          <w:b/>
        </w:rPr>
        <w:t xml:space="preserve">20. </w:t>
      </w:r>
      <w:r>
        <w:rPr/>
        <w:t>Guías y consensos</w:t>
      </w:r>
    </w:p>
    <w:p>
      <w:pPr>
        <w:spacing w:after="60"/>
        <w:ind w:left="510" w:hanging="340"/>
      </w:pPr>
      <w:r>
        <w:rPr>
          <w:b/>
        </w:rPr>
        <w:t xml:space="preserve">21. </w:t>
      </w:r>
      <w:r>
        <w:rPr/>
        <w:t>Perlas y trampas</w:t>
      </w:r>
    </w:p>
    <w:p>
      <w:pPr>
        <w:spacing w:after="60"/>
        <w:ind w:left="510" w:hanging="340"/>
      </w:pPr>
      <w:r>
        <w:rPr>
          <w:b/>
        </w:rPr>
        <w:t xml:space="preserve">22. </w:t>
      </w:r>
      <w:r>
        <w:rPr/>
        <w:t>Preguntas de autoevaluación</w:t>
      </w:r>
    </w:p>
    <w:p>
      <w:pPr>
        <w:spacing w:after="60"/>
        <w:ind w:left="510" w:hanging="340"/>
      </w:pPr>
      <w:r>
        <w:rPr>
          <w:b/>
        </w:rPr>
        <w:t xml:space="preserve">23. </w:t>
      </w:r>
      <w:r>
        <w:rPr/>
        <w:t>Lectura recomendada</w:t>
      </w:r>
    </w:p>
    <w:p>
      <w:pPr>
        <w:spacing w:after="60"/>
        <w:ind w:left="510" w:hanging="340"/>
      </w:pPr>
      <w:r>
        <w:rPr>
          <w:b/>
        </w:rPr>
        <w:t xml:space="preserve">24. </w:t>
      </w:r>
      <w:r>
        <w:rPr/>
        <w:t>Palabras clave</w:t>
      </w:r>
    </w:p>
    <w:p>
      <w:pPr>
        <w:spacing w:after="60"/>
        <w:ind w:left="510" w:hanging="340"/>
      </w:pPr>
      <w:r>
        <w:rPr>
          <w:b/>
        </w:rPr>
        <w:t xml:space="preserve">25. </w:t>
      </w:r>
      <w:r>
        <w:rPr/>
        <w:t>Para recordar</w:t>
      </w:r>
    </w:p>
    <w:p>
      <w:pPr>
        <w:spacing w:after="60"/>
        <w:ind w:left="510" w:hanging="340"/>
      </w:pPr>
      <w:r>
        <w:rPr>
          <w:b/>
        </w:rPr>
        <w:t xml:space="preserve">26. </w:t>
      </w:r>
      <w:r>
        <w:rPr/>
        <w:t>Caso de staff</w:t>
      </w:r>
    </w:p>
    <w:p>
      <w:pPr>
        <w:spacing w:after="60"/>
        <w:ind w:left="510" w:hanging="340"/>
      </w:pPr>
      <w:r>
        <w:rPr>
          <w:b/>
        </w:rPr>
        <w:t xml:space="preserve">27. </w:t>
      </w:r>
      <w:r>
        <w:rPr/>
        <w:t>Referencias completas</w:t>
      </w:r>
    </w:p>
    <w:p>
      <w:pPr>
        <w:pStyle w:val="Heading1"/>
      </w:pPr>
      <w:r>
        <w:t>En 30 segundos</w:t>
      </w:r>
    </w:p>
    <w:p>
      <w:pPr>
        <w:pStyle w:val="ListBullet"/>
      </w:pPr>
      <w:r>
        <w:rPr/>
        <w:t>El abordaje lateral transdeltoideo llega al húmero proximal por un intervalo del deltoides, entre sus porciones acromial y espinal, con una incisión que parte del borde lateral del acromion y no baja más de 5 cm [r1].</w:t>
      </w:r>
    </w:p>
    <w:p>
      <w:pPr>
        <w:pStyle w:val="ListBullet"/>
      </w:pPr>
      <w:r>
        <w:rPr/>
        <w:t>Todo gira alrededor del nervio axilar: la AO sitúa su rama motora anterior a unos 6 cm del borde lateral del acromion y juzga fiable esa distancia [r1], pero en 51 cadáveres casi 20 % tuvo el nervio a menos de 5 cm en algún punto [r2].</w:t>
      </w:r>
    </w:p>
    <w:p>
      <w:pPr>
        <w:pStyle w:val="ListBullet"/>
      </w:pPr>
      <w:r>
        <w:rPr/>
        <w:t>El daño típico es de tracción, no de corte [r37]: con un separador abierto hasta 6 clics, la deformación media del nervio llegó a 51 % en 10 cadáveres y se vio ruptura de mielina [r3].</w:t>
      </w:r>
    </w:p>
    <w:p>
      <w:pPr>
        <w:pStyle w:val="ListBullet"/>
      </w:pPr>
      <w:r>
        <w:rPr/>
        <w:t>Frente al deltopectoral no hay un ganador claro: Buecking (120 pacientes) no halló diferencia de Constant a 12 meses [r4], Rouleau (85) favoreció al deltopectoral en el Q-DASH [r5], y un metaanálisis encontró 16,44 min menos de cirugía con el deltoideo [r6].</w:t>
      </w:r>
    </w:p>
    <w:p>
      <w:pPr>
        <w:pStyle w:val="ListBullet"/>
      </w:pPr>
      <w:r>
        <w:rPr/>
        <w:t>Su terreno natural es la tuberosidad mayor y la placa mínimamente invasiva; en MIPO, un metaanálisis halló más lesiones del axilar (OR 4,88; IC 95 %, 1,03 a 23,25) [r7], hallazgo que otras revisiones no reproducen [r8][r6].</w:t>
      </w:r>
    </w:p>
    <w:p>
      <w:pPr>
        <w:pStyle w:val="Heading1"/>
      </w:pPr>
      <w:r>
        <w:t>Pilares</w:t>
      </w:r>
    </w:p>
    <w:p>
      <w:r>
        <w:rPr>
          <w:i/>
        </w:rPr>
        <w:t>Ideas que no se negocian.</w:t>
      </w:r>
    </w:p>
    <w:p>
      <w:pPr>
        <w:spacing w:after="60"/>
        <w:ind w:left="510" w:hanging="340"/>
      </w:pPr>
      <w:r>
        <w:rPr>
          <w:b/>
        </w:rPr>
        <w:t xml:space="preserve">1. </w:t>
      </w:r>
      <w:r>
        <w:rPr/>
        <w:t>El nervio manda: 5 cm es el tope de tu incisión y de tu separación, no una garantía de seguridad [r1][r2].</w:t>
      </w:r>
    </w:p>
    <w:p>
      <w:pPr>
        <w:spacing w:after="60"/>
        <w:ind w:left="510" w:hanging="340"/>
      </w:pPr>
      <w:r>
        <w:rPr>
          <w:b/>
        </w:rPr>
        <w:t xml:space="preserve">2. </w:t>
      </w:r>
      <w:r>
        <w:rPr/>
        <w:t>Palpa el axilar en la cara profunda del deltoides y deja una sutura de tope en el borde inferior de la separación antes de avanzar [r1].</w:t>
      </w:r>
    </w:p>
    <w:p>
      <w:pPr>
        <w:spacing w:after="60"/>
        <w:ind w:left="510" w:hanging="340"/>
      </w:pPr>
      <w:r>
        <w:rPr>
          <w:b/>
        </w:rPr>
        <w:t xml:space="preserve">3. </w:t>
      </w:r>
      <w:r>
        <w:rPr/>
        <w:t>Poca tracción y brazo en neutro: la abducción acerca el nervio al acromion [r9] y la tracción sostenida lo lesiona [r3].</w:t>
      </w:r>
    </w:p>
    <w:p>
      <w:pPr>
        <w:spacing w:after="60"/>
        <w:ind w:left="510" w:hanging="340"/>
      </w:pPr>
      <w:r>
        <w:rPr>
          <w:b/>
        </w:rPr>
        <w:t xml:space="preserve">4. </w:t>
      </w:r>
      <w:r>
        <w:rPr/>
        <w:t>Con placa, el nervio y el implante se cruzan en la zona media de la placa [r10][r11][r12]: piensa bien esos orificios y el tornillo de apoyo medial [r13].</w:t>
      </w:r>
    </w:p>
    <w:p>
      <w:pPr>
        <w:spacing w:after="60"/>
        <w:ind w:left="510" w:hanging="340"/>
      </w:pPr>
      <w:r>
        <w:rPr>
          <w:b/>
        </w:rPr>
        <w:t xml:space="preserve">5. </w:t>
      </w:r>
      <w:r>
        <w:rPr/>
        <w:t>Ninguna vía gana siempre: elige entre deltoideo y deltopectoral según el patrón de fractura y tu entrenamiento [r8][r14].</w:t>
      </w:r>
    </w:p>
    <w:p>
      <w:pPr>
        <w:pStyle w:val="Heading1"/>
      </w:pPr>
      <w:r>
        <w:t>No olvidar</w:t>
      </w:r>
    </w:p>
    <w:p>
      <w:pPr>
        <w:pStyle w:val="ListBullet"/>
      </w:pPr>
      <w:r>
        <w:rPr/>
        <w:t>Documenta la función del axilar antes de operar: en 143 fracturas por baja energía, 83 pacientes (58 %) tenían denervación del axilar en el EMG [r15].</w:t>
      </w:r>
    </w:p>
    <w:p>
      <w:pPr>
        <w:pStyle w:val="ListBullet"/>
      </w:pPr>
      <w:r>
        <w:rPr/>
        <w:t>Marca dos líneas en la piel antes de cortar: una a 5 cm del acromion y, si vas a pasar una placa por debajo del nervio, otra 2 cm más distal; entre una y otra queda la franja de riesgo para el nervio [r1].</w:t>
      </w:r>
    </w:p>
    <w:p>
      <w:pPr>
        <w:pStyle w:val="ListBullet"/>
      </w:pPr>
      <w:r>
        <w:rPr/>
        <w:t>Un examen clínico normal no descarta lesión: en 40 pacientes evaluados con EMG tras placa por vía deltoidea, 10 % tuvo lesión permanente del axilar, más de lo que la clínica hacía esperar [r16].</w:t>
      </w:r>
    </w:p>
    <w:p>
      <w:pPr>
        <w:pStyle w:val="ListBullet"/>
      </w:pPr>
      <w:r>
        <w:rPr/>
        <w:t>El tornillo de apoyo medial merece una pausa: en 26 pacientes con EMG, las 8 lesiones incompletas del axilar aparecieron solo entre los 17 que lo recibieron [r13].</w:t>
      </w:r>
    </w:p>
    <w:p>
      <w:pPr>
        <w:pStyle w:val="ListBullet"/>
      </w:pPr>
      <w:r>
        <w:rPr/>
        <w:t>Por esta ventana la cara medial se ve poco, y con más de 2 fragmentos lograr una reducción anatómica puede costar más [r8].</w:t>
      </w:r>
    </w:p>
    <w:p>
      <w:pPr>
        <w:pStyle w:val="Heading1"/>
      </w:pPr>
      <w:r>
        <w:t>Definición</w:t>
      </w:r>
    </w:p>
    <w:p>
      <w:pPr>
        <w:pStyle w:val="Heading2"/>
      </w:pPr>
      <w:r>
        <w:t>Qué es, en una frase</w:t>
      </w:r>
    </w:p>
    <w:p>
      <w:r>
        <w:rPr/>
        <w:t>Es una entrada corta y directa a la cara lateral del húmero proximal: se incide la piel desde el borde lateral del acromion hacia distal y el deltoides se separa siguiendo sus fibras, entre las porciones acromial y espinal [r1].</w:t>
      </w:r>
    </w:p>
    <w:p>
      <w:pPr>
        <w:pStyle w:val="Heading2"/>
      </w:pPr>
      <w:r>
        <w:t>Con qué se confunde</w:t>
      </w:r>
    </w:p>
    <w:p>
      <w:r>
        <w:rPr/>
        <w:t>La vía anterolateral o acromial (la de Mackenzie en la AO) usa una ventana un poco más anterior: el rafe entre las porciones clavicular y acromial [r26]. Los estudios clínicos de este capítulo suelen llamar "deltoid split" a la vía anterolateral [r27][r28], y los resúmenes de los metaanálisis comparativos hablan de "deltoid split" en bloque [r29][r8]. Por eso sus cifras se leen como un conjunto aproximado para las dos ventanas, no como datos de una sola.</w:t>
      </w:r>
    </w:p>
    <w:p>
      <w:pPr>
        <w:pStyle w:val="Heading2"/>
      </w:pPr>
      <w:r>
        <w:t>Para qué se usa</w:t>
      </w:r>
    </w:p>
    <w:p>
      <w:pPr>
        <w:pStyle w:val="ListBullet"/>
      </w:pPr>
      <w:r>
        <w:rPr/>
        <w:t>Fijar la tuberosidad mayor: la AO la señala como especialmente útil para eso [r1].</w:t>
      </w:r>
    </w:p>
    <w:p>
      <w:pPr>
        <w:pStyle w:val="ListBullet"/>
      </w:pPr>
      <w:r>
        <w:rPr/>
        <w:t>Placa mínimamente invasiva (MIPO) y clavo anterógrado: la AO recomienda la variante anterolateral para ambos [r26].</w:t>
      </w:r>
    </w:p>
    <w:p>
      <w:pPr>
        <w:pStyle w:val="ListBullet"/>
      </w:pPr>
      <w:r>
        <w:rPr/>
        <w:t>El mismo gesto de dividir el deltoides aparece en otras entradas, como el abordaje anterosuperior de la artroplastia inversa [r30] y el mini-open del manguito [r22].</w:t>
      </w:r>
    </w:p>
    <w:p>
      <w:pPr>
        <w:pStyle w:val="Heading2"/>
      </w:pPr>
      <w:r>
        <w:t>Lo que ofrece y lo que cuesta</w:t>
      </w:r>
    </w:p>
    <w:p>
      <w:r>
        <w:rPr/>
        <w:t>Ofrece una incisión de 5 cm frente a los 12 a 14 cm del deltopectoral [r1][r31] y un plano relativamente avascular, lejos de las circunflejas [r1]. El precio: el nervio axilar queda dentro del campo y la cara medial se ve poco, lo que puede complicar la reducción anatómica cuando hay más de 2 fragmentos [r8].</w:t>
      </w:r>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Transdeltoid lateral approach to the proximal humerus [Internet]. En: AO Surgery Reference. Davos: AO Foundation [consultado 2026 oct 12]. Disponible en: https://surgeryreference.aofoundation.org/orthopedic-trauma/adult-trauma/proximal-humerus/approach/transdeltoid-lateral-approach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https://surgeryreference.aofoundation.org/orthopedic-trauma/adult-trauma/proximal-humerus/approach/transdeltoid-lateral-approach</w:t>
        </w:r>
      </w:hyperlink>
    </w:p>
    <w:p>
      <w:pPr>
        <w:spacing w:after="60"/>
        <w:ind w:left="510" w:hanging="510"/>
      </w:pPr>
      <w:r>
        <w:rPr>
          <w:b/>
          <w:sz w:val="18"/>
        </w:rPr>
        <w:t xml:space="preserve">[r8] </w:t>
      </w:r>
      <w:r>
        <w:rPr>
          <w:sz w:val="18"/>
        </w:rPr>
        <w:t xml:space="preserve">Oldrini LM, Sangiorgio A, Feltri P, Marbach F, Filardo G, Candrian C. Proximal humerus fractures: deltopectoral open reduction and internal fixation vs deltosplit minimally invasive plate osteosynthesis: which surgical approach provides superior results? EFORT Open Rev. 2023;8(8):662-671. doi:10.1530/EOR-22-0110 </w:t>
      </w:r>
      <w:r>
        <w:rPr>
          <w:i/>
          <w:color w:val="5A6469"/>
          <w:sz w:val="17"/>
        </w:rPr>
        <w:t xml:space="preserve">(RS-MA · acceso abierto) </w:t>
      </w:r>
      <w:hyperlink r:id="rId12">
        <w:r>
          <w:rPr>
            <w:color w:val="0563C1"/>
            <w:u w:val="single"/>
            <w:sz w:val="18"/>
          </w:rPr>
          <w:t xml:space="preserve">https://doi.org/10.1530/EOR-22-0110</w:t>
        </w:r>
      </w:hyperlink>
    </w:p>
    <w:p>
      <w:pPr>
        <w:spacing w:after="60"/>
        <w:ind w:left="510" w:hanging="510"/>
      </w:pPr>
      <w:r>
        <w:rPr>
          <w:b/>
          <w:sz w:val="18"/>
        </w:rPr>
        <w:t xml:space="preserve">[r21] </w:t>
      </w:r>
      <w:r>
        <w:rPr>
          <w:sz w:val="18"/>
        </w:rPr>
        <w:t xml:space="preserve">Sirisreetreerux N, Pengrung N, Apivatthakakul T. Proximal humerus exposure with the inverted-L anterolateral deltoid flip approach, anterolateral deltoid splitting approach, and deltopectoral approach: A comparative cadaveric study. Injury. 2021;52(4):738-746. doi:10.1016/j.injury.2020.11.022 </w:t>
      </w:r>
      <w:r>
        <w:rPr>
          <w:i/>
          <w:color w:val="5A6469"/>
          <w:sz w:val="17"/>
        </w:rPr>
        <w:t xml:space="preserve">(serie · acceso resumen) </w:t>
      </w:r>
      <w:hyperlink r:id="rId13">
        <w:r>
          <w:rPr>
            <w:color w:val="0563C1"/>
            <w:u w:val="single"/>
            <w:sz w:val="18"/>
          </w:rPr>
          <w:t xml:space="preserve">https://doi.org/10.1016/j.injury.2020.11.022</w:t>
        </w:r>
      </w:hyperlink>
    </w:p>
    <w:p>
      <w:pPr>
        <w:spacing w:after="60"/>
        <w:ind w:left="510" w:hanging="510"/>
      </w:pPr>
      <w:r>
        <w:rPr>
          <w:b/>
          <w:sz w:val="18"/>
        </w:rPr>
        <w:t xml:space="preserve">[r22] </w:t>
      </w:r>
      <w:r>
        <w:rPr>
          <w:sz w:val="18"/>
        </w:rPr>
        <w:t xml:space="preserve">Hata Y, Saitoh S, Murakami N, Kobayashi H, Takaoka K. Atrophy of the deltoid muscle following rotator cuff surgery. J Bone Joint Surg Am. 2004;86(7):1414-9. doi:10.2106/00004623-200407000-00008 </w:t>
      </w:r>
      <w:r>
        <w:rPr>
          <w:i/>
          <w:color w:val="5A6469"/>
          <w:sz w:val="17"/>
        </w:rPr>
        <w:t xml:space="preserve">(cohorte · acceso resumen) </w:t>
      </w:r>
      <w:hyperlink r:id="rId14">
        <w:r>
          <w:rPr>
            <w:color w:val="0563C1"/>
            <w:u w:val="single"/>
            <w:sz w:val="18"/>
          </w:rPr>
          <w:t xml:space="preserve">https://doi.org/10.2106/00004623-200407000-00008</w:t>
        </w:r>
      </w:hyperlink>
    </w:p>
    <w:p>
      <w:pPr>
        <w:spacing w:after="60"/>
        <w:ind w:left="510" w:hanging="510"/>
      </w:pPr>
      <w:r>
        <w:rPr>
          <w:b/>
          <w:sz w:val="18"/>
        </w:rPr>
        <w:t xml:space="preserve">[r26] </w:t>
      </w:r>
      <w:r>
        <w:rPr>
          <w:sz w:val="18"/>
        </w:rPr>
        <w:t xml:space="preserve">Jaeger M, Leung F, Li W. Anterolateral approach to the proximal humerus [Internet]. En: AO Surgery Reference. Davos: AO Foundation [consultado 2026 oct 12]. Disponible en: https://surgeryreference.aofoundation.org/orthopedic-trauma/adult-trauma/proximal-humerus/approach/anterolateral-approach </w:t>
      </w:r>
      <w:r>
        <w:rPr>
          <w:i/>
          <w:color w:val="5A6469"/>
          <w:sz w:val="17"/>
        </w:rPr>
        <w:t xml:space="preserve">(web-oficial · acceso abierto) </w:t>
      </w:r>
      <w:hyperlink r:id="rId15">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[r27] </w:t>
      </w:r>
      <w:r>
        <w:rPr>
          <w:sz w:val="18"/>
        </w:rPr>
        <w:t xml:space="preserve">Acklin YP, Sommer C. Plate fixation of proximal humerus fractures using the minimally invasive anterolateral delta split approach. Oper Orthop Traumatol. 2012;24(1):61-73. doi:10.1007/s00064-011-0051-9 </w:t>
      </w:r>
      <w:r>
        <w:rPr>
          <w:i/>
          <w:color w:val="5A6469"/>
          <w:sz w:val="17"/>
        </w:rPr>
        <w:t xml:space="preserve">(serie · acceso resumen) </w:t>
      </w:r>
      <w:hyperlink r:id="rId16">
        <w:r>
          <w:rPr>
            <w:color w:val="0563C1"/>
            <w:u w:val="single"/>
            <w:sz w:val="18"/>
          </w:rPr>
          <w:t xml:space="preserve">https://doi.org/10.1007/s00064-011-0051-9</w:t>
        </w:r>
      </w:hyperlink>
    </w:p>
    <w:p>
      <w:pPr>
        <w:spacing w:after="60"/>
        <w:ind w:left="510" w:hanging="510"/>
      </w:pPr>
      <w:r>
        <w:rPr>
          <w:b/>
          <w:sz w:val="18"/>
        </w:rPr>
        <w:t xml:space="preserve">[r28] </w:t>
      </w:r>
      <w:r>
        <w:rPr>
          <w:sz w:val="18"/>
        </w:rPr>
        <w:t xml:space="preserve">Lin T, Xiao B, Ma X, Fu D, Yang S. Minimally invasive plate osteosynthesis with a locking compression plate is superior to open reduction and internal fixation in the management of the proximal humerus fractures. BMC Musculoskelet Disord. 2014;15:206. doi:10.1186/1471-2474-15-206 </w:t>
      </w:r>
      <w:r>
        <w:rPr>
          <w:i/>
          <w:color w:val="5A6469"/>
          <w:sz w:val="17"/>
        </w:rPr>
        <w:t xml:space="preserve">(cohorte · acceso abierto) </w:t>
      </w:r>
      <w:hyperlink r:id="rId17">
        <w:r>
          <w:rPr>
            <w:color w:val="0563C1"/>
            <w:u w:val="single"/>
            <w:sz w:val="18"/>
          </w:rPr>
          <w:t xml:space="preserve">https://doi.org/10.1186/1471-2474-15-206</w:t>
        </w:r>
      </w:hyperlink>
    </w:p>
    <w:p>
      <w:pPr>
        <w:spacing w:after="60"/>
        <w:ind w:left="510" w:hanging="510"/>
      </w:pPr>
      <w:r>
        <w:rPr>
          <w:b/>
          <w:sz w:val="18"/>
        </w:rPr>
        <w:t xml:space="preserve">[r29] </w:t>
      </w:r>
      <w:r>
        <w:rPr>
          <w:sz w:val="18"/>
        </w:rPr>
        <w:t xml:space="preserve">Xie L, Zhang Y, Chen C, Zheng W, Chen H, Cai L. Deltoid-split approach versus deltopectoral approach for proximal humerus fractures: A systematic review and meta-analysis. Orthop Traumatol Surg Res. 2019;105(2):307-316. doi:10.1016/j.otsr.2018.12.004 </w:t>
      </w:r>
      <w:r>
        <w:rPr>
          <w:i/>
          <w:color w:val="5A6469"/>
          <w:sz w:val="17"/>
        </w:rPr>
        <w:t xml:space="preserve">(RS-MA · acceso resumen) </w:t>
      </w:r>
      <w:hyperlink r:id="rId18">
        <w:r>
          <w:rPr>
            <w:color w:val="0563C1"/>
            <w:u w:val="single"/>
            <w:sz w:val="18"/>
          </w:rPr>
          <w:t xml:space="preserve">https://doi.org/10.1016/j.otsr.2018.12.004</w:t>
        </w:r>
      </w:hyperlink>
    </w:p>
    <w:p>
      <w:pPr>
        <w:spacing w:after="60"/>
        <w:ind w:left="510" w:hanging="510"/>
      </w:pPr>
      <w:r>
        <w:rPr>
          <w:b/>
          <w:sz w:val="18"/>
        </w:rPr>
        <w:t xml:space="preserve">[r30] </w:t>
      </w:r>
      <w:r>
        <w:rPr>
          <w:sz w:val="18"/>
        </w:rPr>
        <w:t xml:space="preserve">Molé D, Wein F, Dézaly C, Valenti P, Sirveaux F. Surgical technique: the anterosuperior approach for reverse shoulder arthroplasty. Clin Orthop Relat Res. 2011;469(9):2461-8. doi:10.1007/s11999-011-1861-7 </w:t>
      </w:r>
      <w:r>
        <w:rPr>
          <w:i/>
          <w:color w:val="5A6469"/>
          <w:sz w:val="17"/>
        </w:rPr>
        <w:t xml:space="preserve">(revision · acceso resumen) </w:t>
      </w:r>
      <w:hyperlink r:id="rId19">
        <w:r>
          <w:rPr>
            <w:color w:val="0563C1"/>
            <w:u w:val="single"/>
            <w:sz w:val="18"/>
          </w:rPr>
          <w:t xml:space="preserve">https://doi.org/10.1007/s11999-011-1861-7</w:t>
        </w:r>
      </w:hyperlink>
    </w:p>
    <w:p>
      <w:pPr>
        <w:spacing w:after="60"/>
        <w:ind w:left="510" w:hanging="510"/>
      </w:pPr>
      <w:r>
        <w:rPr>
          <w:b/>
          <w:sz w:val="18"/>
        </w:rPr>
        <w:t xml:space="preserve">[r31] </w:t>
      </w:r>
      <w:r>
        <w:rPr>
          <w:sz w:val="18"/>
        </w:rPr>
        <w:t xml:space="preserve">Jaeger M, Leung F, Li W. Deltopectoral approach to the proximal humerus [Internet]. En: AO Surgery Reference. Davos: AO Foundation [consultado 2026 oct 12]. Disponible en: https://surgeryreference.aofoundation.org/orthopedic-trauma/adult-trauma/proximal-humerus/approach/deltopectoral-approach-to-the-proximal-humerus </w:t>
      </w:r>
      <w:r>
        <w:rPr>
          <w:i/>
          <w:color w:val="5A6469"/>
          <w:sz w:val="17"/>
        </w:rPr>
        <w:t xml:space="preserve">(web-oficial · acceso abierto) </w:t>
      </w:r>
      <w:hyperlink r:id="rId20">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[r32] </w:t>
      </w:r>
      <w:r>
        <w:rPr>
          <w:sz w:val="18"/>
        </w:rPr>
        <w:t xml:space="preserve">Shin YH, Lee YH, Choi HS, Kim MB, Pyo SH, Baek GH. A modified deltoid splitting approach with axillary nerve bundle mobilization for proximal humeral fracture fixation. Injury. 2017;48(11):2569-2574. doi:10.1016/j.injury.2017.09.007 </w:t>
      </w:r>
      <w:r>
        <w:rPr>
          <w:i/>
          <w:color w:val="5A6469"/>
          <w:sz w:val="17"/>
        </w:rPr>
        <w:t xml:space="preserve">(serie · acceso resumen) </w:t>
      </w:r>
      <w:hyperlink r:id="rId21">
        <w:r>
          <w:rPr>
            <w:color w:val="0563C1"/>
            <w:u w:val="single"/>
            <w:sz w:val="18"/>
          </w:rPr>
          <w:t xml:space="preserve">https://doi.org/10.1016/j.injury.2017.09.007</w:t>
        </w:r>
      </w:hyperlink>
    </w:p>
    <w:p>
      <w:pPr>
        <w:pStyle w:val="Heading1"/>
      </w:pPr>
      <w:r>
        <w:t>Epidemiología</w:t>
      </w:r>
    </w:p>
    <w:p>
      <w:pPr>
        <w:pStyle w:val="Heading2"/>
      </w:pPr>
      <w:r>
        <w:t>Cuántas fracturas llegan a esta vía</w:t>
      </w:r>
    </w:p>
    <w:p>
      <w:r>
        <w:rPr/>
        <w:t>La fractura del húmero proximal es frecuente y, sobre todo, se trata sin operar. En una ciudad finlandesa mediana la incidencia fue de 82 por 100 000 personas-año (114 en mujeres y 47 en hombres), y 78 % se manejó con cabestrillo [r33]. La Cochrane de 2022 añade que, en fracturas desplazadas, operar no mejoró la función a 1 año frente a no operar (SMD 0,10; IC 95 %, -0,07 a 0,27), con certeza alta [r34]. Dicho claro: esta vía sirve a un subgrupo, y decidir operar viene antes que elegir el abordaje.</w:t>
      </w:r>
    </w:p>
    <w:p>
      <w:pPr>
        <w:pStyle w:val="Heading2"/>
      </w:pPr>
      <w:r>
        <w:t>El nervio llega herido más veces de lo que se cree</w:t>
      </w:r>
    </w:p>
    <w:p>
      <w:r>
        <w:rPr/>
        <w:t>El EMG de 143 fracturas por baja energía mostró que el axilar es el nervio más comprometido: 83 pacientes (58 %), por delante del supraescapular, con 69 (48 %); en total, 96 pacientes (67 %) tenían alguna denervación [r15]. El desplazamiento importa: con cualquier nervio, hubo denervación en 41 de las 50 fracturas desplazadas (82 %) frente a 55 de las 93 no desplazadas (59 %) [r15]. Otra serie recuerda que la incidencia publicada de lesión neurológica tras fractura va de 6,2 % a 67 % según el estudio [r35].</w:t>
      </w:r>
    </w:p>
    <w:p>
      <w:r>
        <w:rPr/>
        <w:t>Consecuencia práctica: si no lo documentas antes de operar, el déficit de después se te atribuye (práctica habitual / opinión experta). Por eso algunos ensayos excluyen de entrada a quien tiene el axilar alterado [r5], y en una serie de MIPO, 5 de 49 pacientes ya lo traían lesionado [r36].</w:t>
      </w:r>
    </w:p>
    <w:p>
      <w:pPr>
        <w:keepNext/>
      </w:pPr>
      <w:r>
        <w:rPr>
          <w:b/>
          <w:color w:val="0F5F6B"/>
          <w:sz w:val="20"/>
        </w:rPr>
        <w:t>Tabla 1. Cuánto se lesiona el nervio, según dónde y cómo se midió</w:t>
      </w:r>
      <w:r>
        <w:rPr>
          <w:color w:val="5A6469"/>
          <w:sz w:val="18"/>
        </w:rPr>
        <w:t xml:space="preserve">  [r27] [r37] [r13] [r36] [r15] [r16]</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Contexto</w:t>
            </w:r>
          </w:p>
        </w:tc>
        <w:tc>
          <w:tcPr>
            <w:tcW w:type="dxa" w:w="2353"/>
            <w:shd w:val="clear" w:color="auto" w:fill="0F5F6B"/>
          </w:tcPr>
          <w:p>
            <w:r/>
            <w:r>
              <w:rPr>
                <w:b/>
                <w:color w:val="FFFFFF"/>
                <w:sz w:val="20"/>
              </w:rPr>
              <w:t>Cifra</w:t>
            </w:r>
          </w:p>
        </w:tc>
        <w:tc>
          <w:tcPr>
            <w:tcW w:type="dxa" w:w="2353"/>
            <w:shd w:val="clear" w:color="auto" w:fill="0F5F6B"/>
          </w:tcPr>
          <w:p>
            <w:r/>
            <w:r>
              <w:rPr>
                <w:b/>
                <w:color w:val="FFFFFF"/>
                <w:sz w:val="20"/>
              </w:rPr>
              <w:t>Cómo se midió</w:t>
            </w:r>
          </w:p>
        </w:tc>
        <w:tc>
          <w:tcPr>
            <w:tcW w:type="dxa" w:w="2353"/>
            <w:shd w:val="clear" w:color="auto" w:fill="0F5F6B"/>
          </w:tcPr>
          <w:p>
            <w:r/>
            <w:r>
              <w:rPr>
                <w:b/>
                <w:color w:val="FFFFFF"/>
                <w:sz w:val="20"/>
              </w:rPr>
              <w:t>Fuente</w:t>
            </w:r>
          </w:p>
        </w:tc>
      </w:tr>
      <w:tr>
        <w:tc>
          <w:tcPr>
            <w:tcW w:type="dxa" w:w="2353"/>
          </w:tcPr>
          <w:p>
            <w:r/>
            <w:r>
              <w:rPr>
                <w:sz w:val="20"/>
              </w:rPr>
              <w:t>Fractura de baja energía antes de operar (143 fracturas)</w:t>
            </w:r>
          </w:p>
        </w:tc>
        <w:tc>
          <w:tcPr>
            <w:tcW w:type="dxa" w:w="2353"/>
          </w:tcPr>
          <w:p>
            <w:r/>
            <w:r>
              <w:rPr>
                <w:sz w:val="20"/>
              </w:rPr>
              <w:t>Axilar con denervación en 58 %</w:t>
            </w:r>
          </w:p>
        </w:tc>
        <w:tc>
          <w:tcPr>
            <w:tcW w:type="dxa" w:w="2353"/>
          </w:tcPr>
          <w:p>
            <w:r/>
            <w:r>
              <w:rPr>
                <w:sz w:val="20"/>
              </w:rPr>
              <w:t>EMG</w:t>
            </w:r>
          </w:p>
        </w:tc>
        <w:tc>
          <w:tcPr>
            <w:tcW w:type="dxa" w:w="2353"/>
          </w:tcPr>
          <w:p>
            <w:r/>
            <w:r>
              <w:rPr>
                <w:sz w:val="20"/>
              </w:rPr>
              <w:t>[r15]</w:t>
            </w:r>
          </w:p>
        </w:tc>
      </w:tr>
      <w:tr>
        <w:tc>
          <w:tcPr>
            <w:tcW w:type="dxa" w:w="2353"/>
            <w:shd w:val="clear" w:color="auto" w:fill="EEF3F4"/>
          </w:tcPr>
          <w:p>
            <w:r/>
            <w:r>
              <w:rPr>
                <w:sz w:val="20"/>
              </w:rPr>
              <w:t>Placa bloqueada por vía deltoidea (40 evaluados)</w:t>
            </w:r>
          </w:p>
        </w:tc>
        <w:tc>
          <w:tcPr>
            <w:tcW w:type="dxa" w:w="2353"/>
            <w:shd w:val="clear" w:color="auto" w:fill="EEF3F4"/>
          </w:tcPr>
          <w:p>
            <w:r/>
            <w:r>
              <w:rPr>
                <w:sz w:val="20"/>
              </w:rPr>
              <w:t>10 % de lesión permanente del axilar; 3 pacientes con lesión temporal</w:t>
            </w:r>
          </w:p>
        </w:tc>
        <w:tc>
          <w:tcPr>
            <w:tcW w:type="dxa" w:w="2353"/>
            <w:shd w:val="clear" w:color="auto" w:fill="EEF3F4"/>
          </w:tcPr>
          <w:p>
            <w:r/>
            <w:r>
              <w:rPr>
                <w:sz w:val="20"/>
              </w:rPr>
              <w:t>EMG, neurografía y potenciales evocados</w:t>
            </w:r>
          </w:p>
        </w:tc>
        <w:tc>
          <w:tcPr>
            <w:tcW w:type="dxa" w:w="2353"/>
            <w:shd w:val="clear" w:color="auto" w:fill="EEF3F4"/>
          </w:tcPr>
          <w:p>
            <w:r/>
            <w:r>
              <w:rPr>
                <w:sz w:val="20"/>
              </w:rPr>
              <w:t>[r16]</w:t>
            </w:r>
          </w:p>
        </w:tc>
      </w:tr>
      <w:tr>
        <w:tc>
          <w:tcPr>
            <w:tcW w:type="dxa" w:w="2353"/>
          </w:tcPr>
          <w:p>
            <w:r/>
            <w:r>
              <w:rPr>
                <w:sz w:val="20"/>
              </w:rPr>
              <w:t>Placa por deltoideo mínimamente invasivo (26 pacientes)</w:t>
            </w:r>
          </w:p>
        </w:tc>
        <w:tc>
          <w:tcPr>
            <w:tcW w:type="dxa" w:w="2353"/>
          </w:tcPr>
          <w:p>
            <w:r/>
            <w:r>
              <w:rPr>
                <w:sz w:val="20"/>
              </w:rPr>
              <w:t>Lesión incompleta en 8 (31 %); ninguna completa</w:t>
            </w:r>
          </w:p>
        </w:tc>
        <w:tc>
          <w:tcPr>
            <w:tcW w:type="dxa" w:w="2353"/>
          </w:tcPr>
          <w:p>
            <w:r/>
            <w:r>
              <w:rPr>
                <w:sz w:val="20"/>
              </w:rPr>
              <w:t>EMG a las 3 a 4 semanas</w:t>
            </w:r>
          </w:p>
        </w:tc>
        <w:tc>
          <w:tcPr>
            <w:tcW w:type="dxa" w:w="2353"/>
          </w:tcPr>
          <w:p>
            <w:r/>
            <w:r>
              <w:rPr>
                <w:sz w:val="20"/>
              </w:rPr>
              <w:t>[r13]</w:t>
            </w:r>
          </w:p>
        </w:tc>
      </w:tr>
      <w:tr>
        <w:tc>
          <w:tcPr>
            <w:tcW w:type="dxa" w:w="2353"/>
            <w:shd w:val="clear" w:color="auto" w:fill="EEF3F4"/>
          </w:tcPr>
          <w:p>
            <w:r/>
            <w:r>
              <w:rPr>
                <w:sz w:val="20"/>
              </w:rPr>
              <w:t>MIPO anterolateral (49 pacientes)</w:t>
            </w:r>
          </w:p>
        </w:tc>
        <w:tc>
          <w:tcPr>
            <w:tcW w:type="dxa" w:w="2353"/>
            <w:shd w:val="clear" w:color="auto" w:fill="EEF3F4"/>
          </w:tcPr>
          <w:p>
            <w:r/>
            <w:r>
              <w:rPr>
                <w:sz w:val="20"/>
              </w:rPr>
              <w:t>Sin cambios de amplitud (p 0,575) ni de latencia (p 0,857); 5 ya estaban lesionados antes</w:t>
            </w:r>
          </w:p>
        </w:tc>
        <w:tc>
          <w:tcPr>
            <w:tcW w:type="dxa" w:w="2353"/>
            <w:shd w:val="clear" w:color="auto" w:fill="EEF3F4"/>
          </w:tcPr>
          <w:p>
            <w:r/>
            <w:r>
              <w:rPr>
                <w:sz w:val="20"/>
              </w:rPr>
              <w:t>Neurografía antes y después</w:t>
            </w:r>
          </w:p>
        </w:tc>
        <w:tc>
          <w:tcPr>
            <w:tcW w:type="dxa" w:w="2353"/>
            <w:shd w:val="clear" w:color="auto" w:fill="EEF3F4"/>
          </w:tcPr>
          <w:p>
            <w:r/>
            <w:r>
              <w:rPr>
                <w:sz w:val="20"/>
              </w:rPr>
              <w:t>[r36]</w:t>
            </w:r>
          </w:p>
        </w:tc>
      </w:tr>
      <w:tr>
        <w:tc>
          <w:tcPr>
            <w:tcW w:type="dxa" w:w="2353"/>
          </w:tcPr>
          <w:p>
            <w:r/>
            <w:r>
              <w:rPr>
                <w:sz w:val="20"/>
              </w:rPr>
              <w:t>Placa por delta split (29 pacientes)</w:t>
            </w:r>
          </w:p>
        </w:tc>
        <w:tc>
          <w:tcPr>
            <w:tcW w:type="dxa" w:w="2353"/>
          </w:tcPr>
          <w:p>
            <w:r/>
            <w:r>
              <w:rPr>
                <w:sz w:val="20"/>
              </w:rPr>
              <w:t>1 lesión de la rama anterior (3 %)</w:t>
            </w:r>
          </w:p>
        </w:tc>
        <w:tc>
          <w:tcPr>
            <w:tcW w:type="dxa" w:w="2353"/>
          </w:tcPr>
          <w:p>
            <w:r/>
            <w:r>
              <w:rPr>
                <w:sz w:val="20"/>
              </w:rPr>
              <w:t>Clínica</w:t>
            </w:r>
          </w:p>
        </w:tc>
        <w:tc>
          <w:tcPr>
            <w:tcW w:type="dxa" w:w="2353"/>
          </w:tcPr>
          <w:p>
            <w:r/>
            <w:r>
              <w:rPr>
                <w:sz w:val="20"/>
              </w:rPr>
              <w:t>[r27]</w:t>
            </w:r>
          </w:p>
        </w:tc>
      </w:tr>
      <w:tr>
        <w:tc>
          <w:tcPr>
            <w:tcW w:type="dxa" w:w="2353"/>
            <w:shd w:val="clear" w:color="auto" w:fill="EEF3F4"/>
          </w:tcPr>
          <w:p>
            <w:r/>
            <w:r>
              <w:rPr>
                <w:sz w:val="20"/>
              </w:rPr>
              <w:t>Cirugía del manguito (revisión narrativa)</w:t>
            </w:r>
          </w:p>
        </w:tc>
        <w:tc>
          <w:tcPr>
            <w:tcW w:type="dxa" w:w="2353"/>
            <w:shd w:val="clear" w:color="auto" w:fill="EEF3F4"/>
          </w:tcPr>
          <w:p>
            <w:r/>
            <w:r>
              <w:rPr>
                <w:sz w:val="20"/>
              </w:rPr>
              <w:t>Lesión nerviosa en 1 % a 2 %</w:t>
            </w:r>
          </w:p>
        </w:tc>
        <w:tc>
          <w:tcPr>
            <w:tcW w:type="dxa" w:w="2353"/>
            <w:shd w:val="clear" w:color="auto" w:fill="EEF3F4"/>
          </w:tcPr>
          <w:p>
            <w:r/>
            <w:r>
              <w:rPr>
                <w:sz w:val="20"/>
              </w:rPr>
              <w:t>Reportes clínicos</w:t>
            </w:r>
          </w:p>
        </w:tc>
        <w:tc>
          <w:tcPr>
            <w:tcW w:type="dxa" w:w="2353"/>
            <w:shd w:val="clear" w:color="auto" w:fill="EEF3F4"/>
          </w:tcPr>
          <w:p>
            <w:r/>
            <w:r>
              <w:rPr>
                <w:sz w:val="20"/>
              </w:rPr>
              <w:t>[r37]</w:t>
            </w:r>
          </w:p>
        </w:tc>
      </w:tr>
    </w:tbl>
    <w:p/>
    <w:p>
      <w:pPr>
        <w:keepNext/>
      </w:pPr>
      <w:r>
        <w:rPr>
          <w:b/>
          <w:color w:val="0F5F6B"/>
          <w:sz w:val="20"/>
        </w:rPr>
        <w:t>Referencias de este bloque</w:t>
      </w:r>
    </w:p>
    <w:p>
      <w:pPr>
        <w:spacing w:after="60"/>
        <w:ind w:left="510" w:hanging="510"/>
      </w:pPr>
      <w:r>
        <w:rPr>
          <w:b/>
          <w:sz w:val="18"/>
        </w:rPr>
        <w:t xml:space="preserve">[r5] </w:t>
      </w:r>
      <w:r>
        <w:rPr>
          <w:sz w:val="18"/>
        </w:rPr>
        <w:t xml:space="preserve">Rouleau DM, Balg F, Benoit B, Leduc S, Malo M, Vézina F, et al. Deltopectoral vs. deltoid split approach for proximal HUmerus fracture fixation with locking plate: a prospective RAndomized study (HURA). J Shoulder Elbow Surg. 2020;29(11):2190-2199. doi:10.1016/j.jse.2020.06.020 </w:t>
      </w:r>
      <w:r>
        <w:rPr>
          <w:i/>
          <w:color w:val="5A6469"/>
          <w:sz w:val="17"/>
        </w:rPr>
        <w:t xml:space="preserve">(ECA · acceso resumen) </w:t>
      </w:r>
      <w:hyperlink r:id="rId22">
        <w:r>
          <w:rPr>
            <w:color w:val="0563C1"/>
            <w:u w:val="single"/>
            <w:sz w:val="18"/>
          </w:rPr>
          <w:t xml:space="preserve">https://doi.org/10.1016/j.jse.2020.06.020</w:t>
        </w:r>
      </w:hyperlink>
    </w:p>
    <w:p>
      <w:pPr>
        <w:spacing w:after="60"/>
        <w:ind w:left="510" w:hanging="510"/>
      </w:pPr>
      <w:r>
        <w:rPr>
          <w:b/>
          <w:sz w:val="18"/>
        </w:rPr>
        <w:t xml:space="preserve">[r13] </w:t>
      </w:r>
      <w:r>
        <w:rPr>
          <w:sz w:val="18"/>
        </w:rPr>
        <w:t xml:space="preserve">Jeon N, Park S, Bae KH, Park KC, Hwang Bo BH, Lim TK. The use of medial support screw was associated with axillary nerve injury after plate fixation of proximal humeral fracture using minimal invasive deltoid-splitting approach. J Orthop Sci. 2023;28(2):432-437. doi:10.1016/j.jos.2021.11.004 </w:t>
      </w:r>
      <w:r>
        <w:rPr>
          <w:i/>
          <w:color w:val="5A6469"/>
          <w:sz w:val="17"/>
        </w:rPr>
        <w:t xml:space="preserve">(cohorte · acceso resumen) </w:t>
      </w:r>
      <w:hyperlink r:id="rId23">
        <w:r>
          <w:rPr>
            <w:color w:val="0563C1"/>
            <w:u w:val="single"/>
            <w:sz w:val="18"/>
          </w:rPr>
          <w:t xml:space="preserve">https://doi.org/10.1016/j.jos.2021.11.004</w:t>
        </w:r>
      </w:hyperlink>
    </w:p>
    <w:p>
      <w:pPr>
        <w:spacing w:after="60"/>
        <w:ind w:left="510" w:hanging="510"/>
      </w:pPr>
      <w:r>
        <w:rPr>
          <w:b/>
          <w:sz w:val="18"/>
        </w:rPr>
        <w:t xml:space="preserve">[r15] </w:t>
      </w:r>
      <w:r>
        <w:rPr>
          <w:sz w:val="18"/>
        </w:rPr>
        <w:t xml:space="preserve">Visser CP, Coene LN, Brand R, Tavy DL. Nerve lesions in proximal humeral fractures. J Shoulder Elbow Surg. 2001;10(5):421-7. doi:10.1067/mse.2001.118002 </w:t>
      </w:r>
      <w:r>
        <w:rPr>
          <w:i/>
          <w:color w:val="5A6469"/>
          <w:sz w:val="17"/>
        </w:rPr>
        <w:t xml:space="preserve">(cohorte · acceso resumen) </w:t>
      </w:r>
      <w:hyperlink r:id="rId24">
        <w:r>
          <w:rPr>
            <w:color w:val="0563C1"/>
            <w:u w:val="single"/>
            <w:sz w:val="18"/>
          </w:rPr>
          <w:t xml:space="preserve">https://doi.org/10.1067/mse.2001.118002</w:t>
        </w:r>
      </w:hyperlink>
    </w:p>
    <w:p>
      <w:pPr>
        <w:spacing w:after="60"/>
        <w:ind w:left="510" w:hanging="510"/>
      </w:pPr>
      <w:r>
        <w:rPr>
          <w:b/>
          <w:sz w:val="18"/>
        </w:rPr>
        <w:t xml:space="preserve">[r16] </w:t>
      </w:r>
      <w:r>
        <w:rPr>
          <w:sz w:val="18"/>
        </w:rPr>
        <w:t xml:space="preserve">Westphal T, Woischnik S, Adolf D, Feistner H, Piatek S. Axillary nerve lesions after open reduction and internal fixation of proximal humeral fractures through an extended lateral deltoid-split approach: electrophysiological findings. J Shoulder Elbow Surg. 2017;26(3):464-471. doi:10.1016/j.jse.2016.07.027 </w:t>
      </w:r>
      <w:r>
        <w:rPr>
          <w:i/>
          <w:color w:val="5A6469"/>
          <w:sz w:val="17"/>
        </w:rPr>
        <w:t xml:space="preserve">(cohorte · acceso resumen) </w:t>
      </w:r>
      <w:hyperlink r:id="rId25">
        <w:r>
          <w:rPr>
            <w:color w:val="0563C1"/>
            <w:u w:val="single"/>
            <w:sz w:val="18"/>
          </w:rPr>
          <w:t xml:space="preserve">https://doi.org/10.1016/j.jse.2016.07.027</w:t>
        </w:r>
      </w:hyperlink>
    </w:p>
    <w:p>
      <w:pPr>
        <w:spacing w:after="60"/>
        <w:ind w:left="510" w:hanging="510"/>
      </w:pPr>
      <w:r>
        <w:rPr>
          <w:b/>
          <w:sz w:val="18"/>
        </w:rPr>
        <w:t xml:space="preserve">[r27] </w:t>
      </w:r>
      <w:r>
        <w:rPr>
          <w:sz w:val="18"/>
        </w:rPr>
        <w:t xml:space="preserve">Acklin YP, Sommer C. Plate fixation of proximal humerus fractures using the minimally invasive anterolateral delta split approach. Oper Orthop Traumatol. 2012;24(1):61-73. doi:10.1007/s00064-011-0051-9 </w:t>
      </w:r>
      <w:r>
        <w:rPr>
          <w:i/>
          <w:color w:val="5A6469"/>
          <w:sz w:val="17"/>
        </w:rPr>
        <w:t xml:space="preserve">(serie · acceso resumen) </w:t>
      </w:r>
      <w:hyperlink r:id="rId16">
        <w:r>
          <w:rPr>
            <w:color w:val="0563C1"/>
            <w:u w:val="single"/>
            <w:sz w:val="18"/>
          </w:rPr>
          <w:t xml:space="preserve">https://doi.org/10.1007/s00064-011-0051-9</w:t>
        </w:r>
      </w:hyperlink>
    </w:p>
    <w:p>
      <w:pPr>
        <w:spacing w:after="60"/>
        <w:ind w:left="510" w:hanging="510"/>
      </w:pPr>
      <w:r>
        <w:rPr>
          <w:b/>
          <w:sz w:val="18"/>
        </w:rPr>
        <w:t xml:space="preserve">[r33] </w:t>
      </w:r>
      <w:r>
        <w:rPr>
          <w:sz w:val="18"/>
        </w:rPr>
        <w:t xml:space="preserve">Launonen AP, Lepola V, Saranko A, Flinkkilä T, Laitinen M, Mattila VM. Epidemiology of proximal humerus fractures. Arch Osteoporos. 2015;10:209. doi:10.1007/s11657-015-0209-4 </w:t>
      </w:r>
      <w:r>
        <w:rPr>
          <w:i/>
          <w:color w:val="5A6469"/>
          <w:sz w:val="17"/>
        </w:rPr>
        <w:t xml:space="preserve">(cohorte · acceso resumen) </w:t>
      </w:r>
      <w:hyperlink r:id="rId26">
        <w:r>
          <w:rPr>
            <w:color w:val="0563C1"/>
            <w:u w:val="single"/>
            <w:sz w:val="18"/>
          </w:rPr>
          <w:t xml:space="preserve">https://doi.org/10.1007/s11657-015-0209-4</w:t>
        </w:r>
      </w:hyperlink>
    </w:p>
    <w:p>
      <w:pPr>
        <w:spacing w:after="60"/>
        <w:ind w:left="510" w:hanging="510"/>
      </w:pPr>
      <w:r>
        <w:rPr>
          <w:b/>
          <w:sz w:val="18"/>
        </w:rPr>
        <w:t xml:space="preserve">[r34]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resumen) </w:t>
      </w:r>
      <w:hyperlink r:id="rId27">
        <w:r>
          <w:rPr>
            <w:color w:val="0563C1"/>
            <w:u w:val="single"/>
            <w:sz w:val="18"/>
          </w:rPr>
          <w:t xml:space="preserve">https://doi.org/10.1002/14651858.CD000434.pub5</w:t>
        </w:r>
      </w:hyperlink>
    </w:p>
    <w:p>
      <w:pPr>
        <w:spacing w:after="60"/>
        <w:ind w:left="510" w:hanging="510"/>
      </w:pPr>
      <w:r>
        <w:rPr>
          <w:b/>
          <w:sz w:val="18"/>
        </w:rPr>
        <w:t xml:space="preserve">[r35] </w:t>
      </w:r>
      <w:r>
        <w:rPr>
          <w:sz w:val="18"/>
        </w:rPr>
        <w:t xml:space="preserve">Warrender WJ, Oppenheimer S, Abboud JA. Nerve monitoring during proximal humeral fracture fixation: what have we learned? Clin Orthop Relat Res. 2011;469(9):2631-7. doi:10.1007/s11999-010-1760-3 </w:t>
      </w:r>
      <w:r>
        <w:rPr>
          <w:i/>
          <w:color w:val="5A6469"/>
          <w:sz w:val="17"/>
        </w:rPr>
        <w:t xml:space="preserve">(cohorte · acceso resumen) </w:t>
      </w:r>
      <w:hyperlink r:id="rId28">
        <w:r>
          <w:rPr>
            <w:color w:val="0563C1"/>
            <w:u w:val="single"/>
            <w:sz w:val="18"/>
          </w:rPr>
          <w:t xml:space="preserve">https://doi.org/10.1007/s11999-010-1760-3</w:t>
        </w:r>
      </w:hyperlink>
    </w:p>
    <w:p>
      <w:pPr>
        <w:spacing w:after="60"/>
        <w:ind w:left="510" w:hanging="510"/>
      </w:pPr>
      <w:r>
        <w:rPr>
          <w:b/>
          <w:sz w:val="18"/>
        </w:rPr>
        <w:t xml:space="preserve">[r36] </w:t>
      </w:r>
      <w:r>
        <w:rPr>
          <w:sz w:val="18"/>
        </w:rPr>
        <w:t xml:space="preserve">Knežević J, Mihalj M, Čukelj F, Ivanišević A. MIPO of proximal humerus fractures through an anterolateral acromial approach. Is the axillary nerve at risk? Injury. 2017;48 Suppl 5:S15-S20. doi:10.1016/S0020-1383(17)30733-7 </w:t>
      </w:r>
      <w:r>
        <w:rPr>
          <w:i/>
          <w:color w:val="5A6469"/>
          <w:sz w:val="17"/>
        </w:rPr>
        <w:t xml:space="preserve">(cohorte · acceso resumen) </w:t>
      </w:r>
      <w:hyperlink r:id="rId29">
        <w:r>
          <w:rPr>
            <w:color w:val="0563C1"/>
            <w:u w:val="single"/>
            <w:sz w:val="18"/>
          </w:rPr>
          <w:t xml:space="preserve">https://doi.org/10.1016/S0020-1383(17)30733-7</w:t>
        </w:r>
      </w:hyperlink>
    </w:p>
    <w:p>
      <w:pPr>
        <w:spacing w:after="60"/>
        <w:ind w:left="510" w:hanging="510"/>
      </w:pPr>
      <w:r>
        <w:rPr>
          <w:b/>
          <w:sz w:val="18"/>
        </w:rPr>
        <w:t xml:space="preserve">[r37] </w:t>
      </w:r>
      <w:r>
        <w:rPr>
          <w:sz w:val="18"/>
        </w:rPr>
        <w:t xml:space="preserve">Boardman ND 3rd, Cofield RH. Neurologic complications of shoulder surgery. Clin Orthop Relat Res. 1999;(368):44-53. </w:t>
      </w:r>
      <w:r>
        <w:rPr>
          <w:i/>
          <w:color w:val="5A6469"/>
          <w:sz w:val="17"/>
        </w:rPr>
        <w:t xml:space="preserve">(revision · acceso resumen) </w:t>
      </w:r>
      <w:hyperlink r:id="rId30">
        <w:r>
          <w:rPr>
            <w:color w:val="0563C1"/>
            <w:u w:val="single"/>
            <w:sz w:val="18"/>
          </w:rPr>
          <w:t xml:space="preserve">https://pubmed.ncbi.nlm.nih.gov/10613152/</w:t>
        </w:r>
      </w:hyperlink>
    </w:p>
    <w:p>
      <w:pPr>
        <w:pStyle w:val="Heading1"/>
      </w:pPr>
      <w:r>
        <w:t>Anatomía quirúrgica</w:t>
      </w:r>
    </w:p>
    <w:p>
      <w:pPr>
        <w:pStyle w:val="Heading2"/>
      </w:pPr>
      <w:r>
        <w:t>Las porciones del deltoides y la ventana</w:t>
      </w:r>
    </w:p>
    <w:p>
      <w:r>
        <w:rPr/>
        <w:t>El deltoides se describe en tres porciones: clavicular (1), acromial (2) y espinal (3). La vía transdeltoidea lateral usa el intervalo entre la acromial y la espinal; la anterolateral, el rafe entre la clavicular y la acromial [r1][r26]. En ambas, según la AO, se trabaja en un plano con pocos vasos, apartado de las dos arterias circunflejas [r1].</w:t>
      </w:r>
    </w:p>
    <w:p>
      <w:pPr>
        <w:pStyle w:val="Heading2"/>
      </w:pPr>
      <w:r>
        <w:t>El nervio axilar en el campo</w:t>
      </w:r>
    </w:p>
    <w:p>
      <w:r>
        <w:rPr/>
        <w:t>El nervio da la vuelta al húmero pegado a la cara profunda del deltoides; si mides desde el borde lateral del acromion hasta la inserción deltoidea, su trayecto queda algo antes de la mitad de ese recorrido [r1]. Para la AO, la rama motora anterior pasa transversal al hueso a unos 6 cm por debajo de ese borde, una medida que considera poco variable y fiable [r1].</w:t>
      </w:r>
    </w:p>
    <w:p>
      <w:r>
        <w:rPr/>
        <w:t>Otra página de la AO mide desde el vértice de la cabeza humeral y matiza: el nervio y sus ramas pueden estar entre 5 y 9,5 cm bajo ese vértice en la vista anterior (4,5 a 9,5 cm en la lateral), y advierte que los 6 cm que esa página cuenta desde el vértice no deben tomarse como guía absoluta [r38]. Ojo con los dos reparos de la AO (el acromion y el vértice de la cabeza): no son intercambiables.</w:t>
      </w:r>
    </w:p>
    <w:p>
      <w:pPr>
        <w:pStyle w:val="Heading2"/>
      </w:pPr>
      <w:r>
        <w:t>Cómo se reparte la inervación</w:t>
      </w:r>
    </w:p>
    <w:p>
      <w:pPr>
        <w:pStyle w:val="ListBullet"/>
      </w:pPr>
      <w:r>
        <w:rPr/>
        <w:t>En los 129 brazos, la rama anterior inervó las porciones anterior y media. Para la porción posterior hubo tres patrones: ambas ramas (89,1 %), solo la posterior (8,5 %) o solo la anterior (2,3 %) [r39].</w:t>
      </w:r>
    </w:p>
    <w:p>
      <w:pPr>
        <w:pStyle w:val="ListBullet"/>
      </w:pPr>
      <w:r>
        <w:rPr/>
        <w:t>Así, la rama anterior llega también a la porción posterior en 91,5 % [r39]. Deducción práctica: perder esa rama deja sin comando casi todo el deltoides.</w:t>
      </w:r>
    </w:p>
    <w:p>
      <w:pPr>
        <w:pStyle w:val="ListBullet"/>
      </w:pPr>
      <w:r>
        <w:rPr/>
        <w:t>La rama posterior da además el nervio del redondo menor y el cutáneo braquial lateral superior en 100 % de 100 nervios [r40].</w:t>
      </w:r>
    </w:p>
    <w:p>
      <w:pPr>
        <w:pStyle w:val="Heading2"/>
      </w:pPr>
      <w:r>
        <w:t>Dónde se divide: dos series que no coinciden</w:t>
      </w:r>
    </w:p>
    <w:p>
      <w:r>
        <w:rPr/>
        <w:t>En 129 brazos, el nervio se dividió en el espacio cuadrangular en todos y en ninguno dentro del deltoides [r39]. En otra serie de 100 nervios, la división ocurrió en el espacio en 65 % y dentro del deltoides en 35 % [r40]. No sé cuál refleja mejor a tu paciente; asume que puedes encontrar el nervio ya dividido dentro del campo (lectura propia, prudente, sin estudio que la pruebe).</w:t>
      </w:r>
    </w:p>
    <w:p>
      <w:pPr>
        <w:pStyle w:val="Heading2"/>
      </w:pPr>
      <w:r>
        <w:t>Los vasos</w:t>
      </w:r>
    </w:p>
    <w:p>
      <w:r>
        <w:rPr/>
        <w:t>En 6 especímenes, tras abordar por la ventana anterolateral y aplicar la placa, el llenado de los vasos anteriores y posteriores de la cabeza no se alteró [r18]. A la altura de la tuberosidad mayor, la cara lateral muestra una franja libre de vasos penetrantes de 30 mm, flanqueada por dos vasos epifisarios; con la placa puesta, los más próximos quedaron 4 mm delante y 7 mm detrás de ella [r18]. La irrigación clave de la cabeza (circunfleja anterior y su rama ascendente) corre justo por el territorio del deltopectoral; los vasos que penetran la cabeza no quedaron en el campo de esta ventana [r18].</w:t>
      </w:r>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Transdeltoid lateral approach to the proximal humerus [Internet]. En: AO Surgery Reference. Davos: AO Foundation [consultado 2026 oct 12]. Disponible en: https://surgeryreference.aofoundation.org/orthopedic-trauma/adult-trauma/proximal-humerus/approach/transdeltoid-lateral-approach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https://surgeryreference.aofoundation.org/orthopedic-trauma/adult-trauma/proximal-humerus/approach/transdeltoid-lateral-approach</w:t>
        </w:r>
      </w:hyperlink>
    </w:p>
    <w:p>
      <w:pPr>
        <w:spacing w:after="60"/>
        <w:ind w:left="510" w:hanging="510"/>
      </w:pPr>
      <w:r>
        <w:rPr>
          <w:b/>
          <w:sz w:val="18"/>
        </w:rPr>
        <w:t xml:space="preserve">[r18] </w:t>
      </w:r>
      <w:r>
        <w:rPr>
          <w:sz w:val="18"/>
        </w:rPr>
        <w:t xml:space="preserve">Gardner MJ, Voos JE, Wanich T, Helfet DL, Lorich DG. Vascular implications of minimally invasive plating of proximal humerus fractures. J Orthop Trauma. 2006;20(9):602-7. doi:10.1097/01.bot.0000246412.10176.14 </w:t>
      </w:r>
      <w:r>
        <w:rPr>
          <w:i/>
          <w:color w:val="5A6469"/>
          <w:sz w:val="17"/>
        </w:rPr>
        <w:t xml:space="preserve">(serie · acceso resumen) </w:t>
      </w:r>
      <w:hyperlink r:id="rId31">
        <w:r>
          <w:rPr>
            <w:color w:val="0563C1"/>
            <w:u w:val="single"/>
            <w:sz w:val="18"/>
          </w:rPr>
          <w:t xml:space="preserve">https://doi.org/10.1097/01.bot.0000246412.10176.14</w:t>
        </w:r>
      </w:hyperlink>
    </w:p>
    <w:p>
      <w:pPr>
        <w:spacing w:after="60"/>
        <w:ind w:left="510" w:hanging="510"/>
      </w:pPr>
      <w:r>
        <w:rPr>
          <w:b/>
          <w:sz w:val="18"/>
        </w:rPr>
        <w:t xml:space="preserve">[r26] </w:t>
      </w:r>
      <w:r>
        <w:rPr>
          <w:sz w:val="18"/>
        </w:rPr>
        <w:t xml:space="preserve">Jaeger M, Leung F, Li W. Anterolateral approach to the proximal humerus [Internet]. En: AO Surgery Reference. Davos: AO Foundation [consultado 2026 oct 12]. Disponible en: https://surgeryreference.aofoundation.org/orthopedic-trauma/adult-trauma/proximal-humerus/approach/anterolateral-approach </w:t>
      </w:r>
      <w:r>
        <w:rPr>
          <w:i/>
          <w:color w:val="5A6469"/>
          <w:sz w:val="17"/>
        </w:rPr>
        <w:t xml:space="preserve">(web-oficial · acceso abierto) </w:t>
      </w:r>
      <w:hyperlink r:id="rId15">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[r38] </w:t>
      </w:r>
      <w:r>
        <w:rPr>
          <w:sz w:val="18"/>
        </w:rPr>
        <w:t xml:space="preserve">Jaeger M, Leung F, Li W. Safe zones in the humerus [Internet]. En: AO Surgery Reference. Davos: AO Foundation [consultado 2026 oct 12]. Disponible en: https://surgeryreference.aofoundation.org/orthopedic-trauma/adult-trauma/proximal-humerus/approach/safe-zones-in-the-proximal-humerus </w:t>
      </w:r>
      <w:r>
        <w:rPr>
          <w:i/>
          <w:color w:val="5A6469"/>
          <w:sz w:val="17"/>
        </w:rPr>
        <w:t xml:space="preserve">(web-oficial · acceso abierto) </w:t>
      </w:r>
      <w:hyperlink r:id="rId32">
        <w:r>
          <w:rPr>
            <w:color w:val="0563C1"/>
            <w:u w:val="single"/>
            <w:sz w:val="18"/>
          </w:rPr>
          <w:t xml:space="preserve">https://surgeryreference.aofoundation.org/orthopedic-trauma/adult-trauma/proximal-humerus/approach/safe-zones-in-the-proximal-humerus</w:t>
        </w:r>
      </w:hyperlink>
    </w:p>
    <w:p>
      <w:pPr>
        <w:spacing w:after="60"/>
        <w:ind w:left="510" w:hanging="510"/>
      </w:pPr>
      <w:r>
        <w:rPr>
          <w:b/>
          <w:sz w:val="18"/>
        </w:rPr>
        <w:t xml:space="preserve">[r39] </w:t>
      </w:r>
      <w:r>
        <w:rPr>
          <w:sz w:val="18"/>
        </w:rPr>
        <w:t xml:space="preserve">Leechavengvongs S, Teerawutthichaikit T, Witoonchart K, Uerpairojkit C, Malungpaishrope K, Suppauksorn S, et al. Surgical anatomy of the axillary nerve branches to the deltoid muscle. Clin Anat. 2015;28(1):118-22. doi:10.1002/ca.22352 </w:t>
      </w:r>
      <w:r>
        <w:rPr>
          <w:i/>
          <w:color w:val="5A6469"/>
          <w:sz w:val="17"/>
        </w:rPr>
        <w:t xml:space="preserve">(serie · acceso resumen) </w:t>
      </w:r>
      <w:hyperlink r:id="rId33">
        <w:r>
          <w:rPr>
            <w:color w:val="0563C1"/>
            <w:u w:val="single"/>
            <w:sz w:val="18"/>
          </w:rPr>
          <w:t xml:space="preserve">https://doi.org/10.1002/ca.22352</w:t>
        </w:r>
      </w:hyperlink>
    </w:p>
    <w:p>
      <w:pPr>
        <w:spacing w:after="60"/>
        <w:ind w:left="510" w:hanging="510"/>
      </w:pPr>
      <w:r>
        <w:rPr>
          <w:b/>
          <w:sz w:val="18"/>
        </w:rPr>
        <w:t xml:space="preserve">[r40] </w:t>
      </w:r>
      <w:r>
        <w:rPr>
          <w:sz w:val="18"/>
        </w:rPr>
        <w:t xml:space="preserve">Loukas M, Grabska J, Tubbs RS, Apaydin N, Jordan R. Mapping the axillary nerve within the deltoid muscle. Surg Radiol Anat. 2009;31(1):43-7. doi:10.1007/s00276-008-0409-3 </w:t>
      </w:r>
      <w:r>
        <w:rPr>
          <w:i/>
          <w:color w:val="5A6469"/>
          <w:sz w:val="17"/>
        </w:rPr>
        <w:t xml:space="preserve">(serie · acceso resumen) </w:t>
      </w:r>
      <w:hyperlink r:id="rId34">
        <w:r>
          <w:rPr>
            <w:color w:val="0563C1"/>
            <w:u w:val="single"/>
            <w:sz w:val="18"/>
          </w:rPr>
          <w:t xml:space="preserve">https://doi.org/10.1007/s00276-008-0409-3</w:t>
        </w:r>
      </w:hyperlink>
    </w:p>
    <w:p>
      <w:pPr>
        <w:pStyle w:val="Heading1"/>
      </w:pPr>
      <w:r>
        <w:t>Variantes: la distancia del nervio no es una constante</w:t>
      </w:r>
    </w:p>
    <w:p>
      <w:pPr>
        <w:pStyle w:val="Heading2"/>
      </w:pPr>
      <w:r>
        <w:t>Una medida que no es fija</w:t>
      </w:r>
    </w:p>
    <w:p>
      <w:r>
        <w:rPr/>
        <w:t>Los textos clásicos ubicaban el nervio a unas 2 pulgadas del acromion [r2]. Quien lo midió halló otra cosa. Burkhead disecó 51 cadáveres (102 hombros): en casi 20 % de ellos algún punto del nervio quedó a menos de 5 cm del borde palpable del acromion, más a menudo en mujeres con brazos cortos, y el caso extremo midió 3,1 cm [r2]. La abducción redujo esa distancia cerca de 30 % [r2]. Su conclusión es que los 5 cm no bastan como garantía de seguridad [r2].</w:t>
      </w:r>
    </w:p>
    <w:p>
      <w:pPr>
        <w:pStyle w:val="Heading2"/>
      </w:pPr>
      <w:r>
        <w:t>Lo que añaden otras series</w:t>
      </w:r>
    </w:p>
    <w:p>
      <w:pPr>
        <w:pStyle w:val="ListBullet"/>
      </w:pPr>
      <w:r>
        <w:rPr/>
        <w:t>El nervio no guarda la misma distancia a lo largo de su recorrido: en 24 hombros embalsamados midió 6,08 cm desde el borde anterior del acromion y 4,87 cm desde el posterior, y la distancia acompañó al largo del brazo (r 0,79 y 0,61) [r41].</w:t>
      </w:r>
    </w:p>
    <w:p>
      <w:pPr>
        <w:pStyle w:val="ListBullet"/>
      </w:pPr>
      <w:r>
        <w:rPr/>
        <w:t>En 10 cadáveres con abordaje deltoideo, el nervio estuvo a 6,32 cm (5,20 a 7,6) del borde anterolateral del acromion [r3].</w:t>
      </w:r>
    </w:p>
    <w:p>
      <w:pPr>
        <w:pStyle w:val="ListBullet"/>
      </w:pPr>
      <w:r>
        <w:rPr/>
        <w:t>En 37 pacientes operados, medido antes del cierre, el promedio fue 6 cm (5,5 a 6,6); el índice con el largo del brazo fue de 0,18 y la ubicación solo se pudo predecir en 18 % [r19].</w:t>
      </w:r>
    </w:p>
    <w:p>
      <w:pPr>
        <w:pStyle w:val="ListBullet"/>
      </w:pPr>
      <w:r>
        <w:rPr/>
        <w:t>Por sexo, en 30 cadáveres la distancia del acromion a la rama anterior fue de 65,31 mm en mujeres y 71,18 mm en hombres [r42].</w:t>
      </w:r>
    </w:p>
    <w:p>
      <w:pPr>
        <w:pStyle w:val="Heading2"/>
      </w:pPr>
      <w:r>
        <w:t>Cómo usarlo</w:t>
      </w:r>
    </w:p>
    <w:p>
      <w:r>
        <w:rPr/>
        <w:t>Trata los 5 cm como un tope para tu incisión y tu separación [r1], y el nervio como algo que debes palpar (práctica habitual / opinión experta). La distancia varía con el sexo, el largo del brazo, el punto del acromion que uses de referencia [r41][r42] y la posición del brazo [r9].</w:t>
      </w:r>
    </w:p>
    <w:p>
      <w:pPr>
        <w:keepNext/>
      </w:pPr>
      <w:r>
        <w:rPr>
          <w:b/>
          <w:color w:val="0F5F6B"/>
          <w:sz w:val="20"/>
        </w:rPr>
        <w:t>Tabla 2. Distancia del nervio axilar al acromion según el estudio</w:t>
      </w:r>
      <w:r>
        <w:rPr>
          <w:color w:val="5A6469"/>
          <w:sz w:val="18"/>
        </w:rPr>
        <w:t xml:space="preserve">  [r2] [r41] [r42] [r21] [r10] [r3] [r19]</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Muestra y método</w:t>
            </w:r>
          </w:p>
        </w:tc>
        <w:tc>
          <w:tcPr>
            <w:tcW w:type="dxa" w:w="2353"/>
            <w:shd w:val="clear" w:color="auto" w:fill="0F5F6B"/>
          </w:tcPr>
          <w:p>
            <w:r/>
            <w:r>
              <w:rPr>
                <w:b/>
                <w:color w:val="FFFFFF"/>
                <w:sz w:val="20"/>
              </w:rPr>
              <w:t>Dato principal</w:t>
            </w:r>
          </w:p>
        </w:tc>
        <w:tc>
          <w:tcPr>
            <w:tcW w:type="dxa" w:w="2353"/>
            <w:shd w:val="clear" w:color="auto" w:fill="0F5F6B"/>
          </w:tcPr>
          <w:p>
            <w:r/>
            <w:r>
              <w:rPr>
                <w:b/>
                <w:color w:val="FFFFFF"/>
                <w:sz w:val="20"/>
              </w:rPr>
              <w:t>Fuente</w:t>
            </w:r>
          </w:p>
        </w:tc>
      </w:tr>
      <w:tr>
        <w:tc>
          <w:tcPr>
            <w:tcW w:type="dxa" w:w="2353"/>
          </w:tcPr>
          <w:p>
            <w:r/>
            <w:r>
              <w:rPr>
                <w:sz w:val="20"/>
              </w:rPr>
              <w:t>Burkhead</w:t>
            </w:r>
          </w:p>
        </w:tc>
        <w:tc>
          <w:tcPr>
            <w:tcW w:type="dxa" w:w="2353"/>
          </w:tcPr>
          <w:p>
            <w:r/>
            <w:r>
              <w:rPr>
                <w:sz w:val="20"/>
              </w:rPr>
              <w:t>51 cadáveres (102 hombros), disección</w:t>
            </w:r>
          </w:p>
        </w:tc>
        <w:tc>
          <w:tcPr>
            <w:tcW w:type="dxa" w:w="2353"/>
          </w:tcPr>
          <w:p>
            <w:r/>
            <w:r>
              <w:rPr>
                <w:sz w:val="20"/>
              </w:rPr>
              <w:t>Casi 20 % a menos de 5 cm; mínimo 3,1 cm</w:t>
            </w:r>
          </w:p>
        </w:tc>
        <w:tc>
          <w:tcPr>
            <w:tcW w:type="dxa" w:w="2353"/>
          </w:tcPr>
          <w:p>
            <w:r/>
            <w:r>
              <w:rPr>
                <w:sz w:val="20"/>
              </w:rPr>
              <w:t>[r2]</w:t>
            </w:r>
          </w:p>
        </w:tc>
      </w:tr>
      <w:tr>
        <w:tc>
          <w:tcPr>
            <w:tcW w:type="dxa" w:w="2353"/>
            <w:shd w:val="clear" w:color="auto" w:fill="EEF3F4"/>
          </w:tcPr>
          <w:p>
            <w:r/>
            <w:r>
              <w:rPr>
                <w:sz w:val="20"/>
              </w:rPr>
              <w:t>Cetik</w:t>
            </w:r>
          </w:p>
        </w:tc>
        <w:tc>
          <w:tcPr>
            <w:tcW w:type="dxa" w:w="2353"/>
            <w:shd w:val="clear" w:color="auto" w:fill="EEF3F4"/>
          </w:tcPr>
          <w:p>
            <w:r/>
            <w:r>
              <w:rPr>
                <w:sz w:val="20"/>
              </w:rPr>
              <w:t>24 hombros embalsamados</w:t>
            </w:r>
          </w:p>
        </w:tc>
        <w:tc>
          <w:tcPr>
            <w:tcW w:type="dxa" w:w="2353"/>
            <w:shd w:val="clear" w:color="auto" w:fill="EEF3F4"/>
          </w:tcPr>
          <w:p>
            <w:r/>
            <w:r>
              <w:rPr>
                <w:sz w:val="20"/>
              </w:rPr>
              <w:t>6,08 cm (anterior) y 4,87 cm (posterior)</w:t>
            </w:r>
          </w:p>
        </w:tc>
        <w:tc>
          <w:tcPr>
            <w:tcW w:type="dxa" w:w="2353"/>
            <w:shd w:val="clear" w:color="auto" w:fill="EEF3F4"/>
          </w:tcPr>
          <w:p>
            <w:r/>
            <w:r>
              <w:rPr>
                <w:sz w:val="20"/>
              </w:rPr>
              <w:t>[r41]</w:t>
            </w:r>
          </w:p>
        </w:tc>
      </w:tr>
      <w:tr>
        <w:tc>
          <w:tcPr>
            <w:tcW w:type="dxa" w:w="2353"/>
          </w:tcPr>
          <w:p>
            <w:r/>
            <w:r>
              <w:rPr>
                <w:sz w:val="20"/>
              </w:rPr>
              <w:t>Traver</w:t>
            </w:r>
          </w:p>
        </w:tc>
        <w:tc>
          <w:tcPr>
            <w:tcW w:type="dxa" w:w="2353"/>
          </w:tcPr>
          <w:p>
            <w:r/>
            <w:r>
              <w:rPr>
                <w:sz w:val="20"/>
              </w:rPr>
              <w:t>10 cadáveres frescos, abordaje deltoideo</w:t>
            </w:r>
          </w:p>
        </w:tc>
        <w:tc>
          <w:tcPr>
            <w:tcW w:type="dxa" w:w="2353"/>
          </w:tcPr>
          <w:p>
            <w:r/>
            <w:r>
              <w:rPr>
                <w:sz w:val="20"/>
              </w:rPr>
              <w:t>6,32 cm (5,20 a 7,6)</w:t>
            </w:r>
          </w:p>
        </w:tc>
        <w:tc>
          <w:tcPr>
            <w:tcW w:type="dxa" w:w="2353"/>
          </w:tcPr>
          <w:p>
            <w:r/>
            <w:r>
              <w:rPr>
                <w:sz w:val="20"/>
              </w:rPr>
              <w:t>[r3]</w:t>
            </w:r>
          </w:p>
        </w:tc>
      </w:tr>
      <w:tr>
        <w:tc>
          <w:tcPr>
            <w:tcW w:type="dxa" w:w="2353"/>
            <w:shd w:val="clear" w:color="auto" w:fill="EEF3F4"/>
          </w:tcPr>
          <w:p>
            <w:r/>
            <w:r>
              <w:rPr>
                <w:sz w:val="20"/>
              </w:rPr>
              <w:t>Stecco</w:t>
            </w:r>
          </w:p>
        </w:tc>
        <w:tc>
          <w:tcPr>
            <w:tcW w:type="dxa" w:w="2353"/>
            <w:shd w:val="clear" w:color="auto" w:fill="EEF3F4"/>
          </w:tcPr>
          <w:p>
            <w:r/>
            <w:r>
              <w:rPr>
                <w:sz w:val="20"/>
              </w:rPr>
              <w:t>16 hombros sin embalsamar</w:t>
            </w:r>
          </w:p>
        </w:tc>
        <w:tc>
          <w:tcPr>
            <w:tcW w:type="dxa" w:w="2353"/>
            <w:shd w:val="clear" w:color="auto" w:fill="EEF3F4"/>
          </w:tcPr>
          <w:p>
            <w:r/>
            <w:r>
              <w:rPr>
                <w:sz w:val="20"/>
              </w:rPr>
              <w:t>Entrada al deltoides a 6,8 cm del acromion</w:t>
            </w:r>
          </w:p>
        </w:tc>
        <w:tc>
          <w:tcPr>
            <w:tcW w:type="dxa" w:w="2353"/>
            <w:shd w:val="clear" w:color="auto" w:fill="EEF3F4"/>
          </w:tcPr>
          <w:p>
            <w:r/>
            <w:r>
              <w:rPr>
                <w:sz w:val="20"/>
              </w:rPr>
              <w:t>[r10]</w:t>
            </w:r>
          </w:p>
        </w:tc>
      </w:tr>
      <w:tr>
        <w:tc>
          <w:tcPr>
            <w:tcW w:type="dxa" w:w="2353"/>
          </w:tcPr>
          <w:p>
            <w:r/>
            <w:r>
              <w:rPr>
                <w:sz w:val="20"/>
              </w:rPr>
              <w:t>Yildirim</w:t>
            </w:r>
          </w:p>
        </w:tc>
        <w:tc>
          <w:tcPr>
            <w:tcW w:type="dxa" w:w="2353"/>
          </w:tcPr>
          <w:p>
            <w:r/>
            <w:r>
              <w:rPr>
                <w:sz w:val="20"/>
              </w:rPr>
              <w:t>37 pacientes, medido antes del cierre</w:t>
            </w:r>
          </w:p>
        </w:tc>
        <w:tc>
          <w:tcPr>
            <w:tcW w:type="dxa" w:w="2353"/>
          </w:tcPr>
          <w:p>
            <w:r/>
            <w:r>
              <w:rPr>
                <w:sz w:val="20"/>
              </w:rPr>
              <w:t>6 cm (5,5 a 6,6)</w:t>
            </w:r>
          </w:p>
        </w:tc>
        <w:tc>
          <w:tcPr>
            <w:tcW w:type="dxa" w:w="2353"/>
          </w:tcPr>
          <w:p>
            <w:r/>
            <w:r>
              <w:rPr>
                <w:sz w:val="20"/>
              </w:rPr>
              <w:t>[r19]</w:t>
            </w:r>
          </w:p>
        </w:tc>
      </w:tr>
      <w:tr>
        <w:tc>
          <w:tcPr>
            <w:tcW w:type="dxa" w:w="2353"/>
            <w:shd w:val="clear" w:color="auto" w:fill="EEF3F4"/>
          </w:tcPr>
          <w:p>
            <w:r/>
            <w:r>
              <w:rPr>
                <w:sz w:val="20"/>
              </w:rPr>
              <w:t>Sirisreetreerux</w:t>
            </w:r>
          </w:p>
        </w:tc>
        <w:tc>
          <w:tcPr>
            <w:tcW w:type="dxa" w:w="2353"/>
            <w:shd w:val="clear" w:color="auto" w:fill="EEF3F4"/>
          </w:tcPr>
          <w:p>
            <w:r/>
            <w:r>
              <w:rPr>
                <w:sz w:val="20"/>
              </w:rPr>
              <w:t>11 cadáveres, lado con deltoideo</w:t>
            </w:r>
          </w:p>
        </w:tc>
        <w:tc>
          <w:tcPr>
            <w:tcW w:type="dxa" w:w="2353"/>
            <w:shd w:val="clear" w:color="auto" w:fill="EEF3F4"/>
          </w:tcPr>
          <w:p>
            <w:r/>
            <w:r>
              <w:rPr>
                <w:sz w:val="20"/>
              </w:rPr>
              <w:t>49,15 mm</w:t>
            </w:r>
          </w:p>
        </w:tc>
        <w:tc>
          <w:tcPr>
            <w:tcW w:type="dxa" w:w="2353"/>
            <w:shd w:val="clear" w:color="auto" w:fill="EEF3F4"/>
          </w:tcPr>
          <w:p>
            <w:r/>
            <w:r>
              <w:rPr>
                <w:sz w:val="20"/>
              </w:rPr>
              <w:t>[r21]</w:t>
            </w:r>
          </w:p>
        </w:tc>
      </w:tr>
      <w:tr>
        <w:tc>
          <w:tcPr>
            <w:tcW w:type="dxa" w:w="2353"/>
          </w:tcPr>
          <w:p>
            <w:r/>
            <w:r>
              <w:rPr>
                <w:sz w:val="20"/>
              </w:rPr>
              <w:t>Lottino</w:t>
            </w:r>
          </w:p>
        </w:tc>
        <w:tc>
          <w:tcPr>
            <w:tcW w:type="dxa" w:w="2353"/>
          </w:tcPr>
          <w:p>
            <w:r/>
            <w:r>
              <w:rPr>
                <w:sz w:val="20"/>
              </w:rPr>
              <w:t>30 cadáveres formolizados</w:t>
            </w:r>
          </w:p>
        </w:tc>
        <w:tc>
          <w:tcPr>
            <w:tcW w:type="dxa" w:w="2353"/>
          </w:tcPr>
          <w:p>
            <w:r/>
            <w:r>
              <w:rPr>
                <w:sz w:val="20"/>
              </w:rPr>
              <w:t>65,31 mm (mujeres) y 71,18 mm (hombres)</w:t>
            </w:r>
          </w:p>
        </w:tc>
        <w:tc>
          <w:tcPr>
            <w:tcW w:type="dxa" w:w="2353"/>
          </w:tcPr>
          <w:p>
            <w:r/>
            <w:r>
              <w:rPr>
                <w:sz w:val="20"/>
              </w:rPr>
              <w:t>[r42]</w:t>
            </w:r>
          </w:p>
        </w:tc>
      </w:tr>
    </w:tbl>
    <w:p/>
    <w:p>
      <w:pPr>
        <w:keepNext/>
      </w:pPr>
      <w:r>
        <w:rPr>
          <w:b/>
          <w:color w:val="0F5F6B"/>
          <w:sz w:val="20"/>
        </w:rPr>
        <w:t>Figura 1. Distancia del nervio axilar al acromion según el estudio (valor central de cada uno)</w:t>
      </w:r>
      <w:r>
        <w:rPr>
          <w:color w:val="5A6469"/>
          <w:sz w:val="18"/>
        </w:rPr>
        <w:t xml:space="preserve">  [r1] [r41] [r3] [r10] [r19] [r21] [r42] [r2]</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3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Transdeltoid lateral approach to the proximal humerus [Internet]. En: AO Surgery Reference. Davos: AO Foundation [consultado 2026 oct 12]. Disponible en: https://surgeryreference.aofoundation.org/orthopedic-trauma/adult-trauma/proximal-humerus/approach/transdeltoid-lateral-approach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https://surgeryreference.aofoundation.org/orthopedic-trauma/adult-trauma/proximal-humerus/approach/transdeltoid-lateral-approach</w:t>
        </w:r>
      </w:hyperlink>
    </w:p>
    <w:p>
      <w:pPr>
        <w:spacing w:after="60"/>
        <w:ind w:left="510" w:hanging="510"/>
      </w:pPr>
      <w:r>
        <w:rPr>
          <w:b/>
          <w:sz w:val="18"/>
        </w:rPr>
        <w:t xml:space="preserve">[r2] </w:t>
      </w:r>
      <w:r>
        <w:rPr>
          <w:sz w:val="18"/>
        </w:rPr>
        <w:t xml:space="preserve">Burkhead WZ Jr, Scheinberg RR, Box G. Surgical anatomy of the axillary nerve. J Shoulder Elbow Surg. 1992;1(1):31-6. doi:10.1016/S1058-2746(09)80014-1 </w:t>
      </w:r>
      <w:r>
        <w:rPr>
          <w:i/>
          <w:color w:val="5A6469"/>
          <w:sz w:val="17"/>
        </w:rPr>
        <w:t xml:space="preserve">(serie · acceso resumen) </w:t>
      </w:r>
      <w:hyperlink r:id="rId36">
        <w:r>
          <w:rPr>
            <w:color w:val="0563C1"/>
            <w:u w:val="single"/>
            <w:sz w:val="18"/>
          </w:rPr>
          <w:t xml:space="preserve">https://doi.org/10.1016/S1058-2746(09)80014-1</w:t>
        </w:r>
      </w:hyperlink>
    </w:p>
    <w:p>
      <w:pPr>
        <w:spacing w:after="60"/>
        <w:ind w:left="510" w:hanging="510"/>
      </w:pPr>
      <w:r>
        <w:rPr>
          <w:b/>
          <w:sz w:val="18"/>
        </w:rPr>
        <w:t xml:space="preserve">[r3] </w:t>
      </w:r>
      <w:r>
        <w:rPr>
          <w:sz w:val="18"/>
        </w:rPr>
        <w:t xml:space="preserve">Traver JL, Guzman MA, Cannada LK, Kaar SG. Is the Axillary Nerve at Risk During a Deltoid-Splitting Approach for Proximal Humerus Fractures? J Orthop Trauma. 2016;30(5):240-4. doi:10.1097/BOT.0000000000000492 </w:t>
      </w:r>
      <w:r>
        <w:rPr>
          <w:i/>
          <w:color w:val="5A6469"/>
          <w:sz w:val="17"/>
        </w:rPr>
        <w:t xml:space="preserve">(serie · acceso resumen) </w:t>
      </w:r>
      <w:hyperlink r:id="rId37">
        <w:r>
          <w:rPr>
            <w:color w:val="0563C1"/>
            <w:u w:val="single"/>
            <w:sz w:val="18"/>
          </w:rPr>
          <w:t xml:space="preserve">https://doi.org/10.1097/BOT.0000000000000492</w:t>
        </w:r>
      </w:hyperlink>
    </w:p>
    <w:p>
      <w:pPr>
        <w:spacing w:after="60"/>
        <w:ind w:left="510" w:hanging="510"/>
      </w:pPr>
      <w:r>
        <w:rPr>
          <w:b/>
          <w:sz w:val="18"/>
        </w:rPr>
        <w:t xml:space="preserve">[r9] </w:t>
      </w:r>
      <w:r>
        <w:rPr>
          <w:sz w:val="18"/>
        </w:rPr>
        <w:t xml:space="preserve">Cheung S, Fitzpatrick M, Lee TQ. Effects of shoulder position on axillary nerve positions during the split lateral deltoid approach. J Shoulder Elbow Surg. 2009;18(5):748-55. doi:10.1016/j.jse.2008.12.001 </w:t>
      </w:r>
      <w:r>
        <w:rPr>
          <w:i/>
          <w:color w:val="5A6469"/>
          <w:sz w:val="17"/>
        </w:rPr>
        <w:t xml:space="preserve">(serie · acceso resumen) </w:t>
      </w:r>
      <w:hyperlink r:id="rId38">
        <w:r>
          <w:rPr>
            <w:color w:val="0563C1"/>
            <w:u w:val="single"/>
            <w:sz w:val="18"/>
          </w:rPr>
          <w:t xml:space="preserve">https://doi.org/10.1016/j.jse.2008.12.001</w:t>
        </w:r>
      </w:hyperlink>
    </w:p>
    <w:p>
      <w:pPr>
        <w:spacing w:after="60"/>
        <w:ind w:left="510" w:hanging="510"/>
      </w:pPr>
      <w:r>
        <w:rPr>
          <w:b/>
          <w:sz w:val="18"/>
        </w:rPr>
        <w:t xml:space="preserve">[r10] </w:t>
      </w:r>
      <w:r>
        <w:rPr>
          <w:sz w:val="18"/>
        </w:rPr>
        <w:t xml:space="preserve">Stecco C, Gagliano G, Lancerotto L, Tiengo C, Macchi V, Porzionato A, et al. Surgical anatomy of the axillary nerve and its implication in the transdeltoid approaches to the shoulder. J Shoulder Elbow Surg. 2010;19(8):1166-74. doi:10.1016/j.jse.2010.05.010 </w:t>
      </w:r>
      <w:r>
        <w:rPr>
          <w:i/>
          <w:color w:val="5A6469"/>
          <w:sz w:val="17"/>
        </w:rPr>
        <w:t xml:space="preserve">(serie · acceso resumen) </w:t>
      </w:r>
      <w:hyperlink r:id="rId39">
        <w:r>
          <w:rPr>
            <w:color w:val="0563C1"/>
            <w:u w:val="single"/>
            <w:sz w:val="18"/>
          </w:rPr>
          <w:t xml:space="preserve">https://doi.org/10.1016/j.jse.2010.05.010</w:t>
        </w:r>
      </w:hyperlink>
    </w:p>
    <w:p>
      <w:pPr>
        <w:spacing w:after="60"/>
        <w:ind w:left="510" w:hanging="510"/>
      </w:pPr>
      <w:r>
        <w:rPr>
          <w:b/>
          <w:sz w:val="18"/>
        </w:rPr>
        <w:t xml:space="preserve">[r19] </w:t>
      </w:r>
      <w:r>
        <w:rPr>
          <w:sz w:val="18"/>
        </w:rPr>
        <w:t xml:space="preserve">Yildirim C, Demirel M, Bayram E, Ekinci M, Yılmaz M. Acromion-axillary nerve distance and its relation to the arm length in the prediction of the axillary nerve position: a clinical study. J Orthop Surg Res. 2022;17(1):248. doi:10.1186/s13018-022-03085-6 </w:t>
      </w:r>
      <w:r>
        <w:rPr>
          <w:i/>
          <w:color w:val="5A6469"/>
          <w:sz w:val="17"/>
        </w:rPr>
        <w:t xml:space="preserve">(cohorte · acceso abierto) </w:t>
      </w:r>
      <w:hyperlink r:id="rId40">
        <w:r>
          <w:rPr>
            <w:color w:val="0563C1"/>
            <w:u w:val="single"/>
            <w:sz w:val="18"/>
          </w:rPr>
          <w:t xml:space="preserve">https://doi.org/10.1186/s13018-022-03085-6</w:t>
        </w:r>
      </w:hyperlink>
    </w:p>
    <w:p>
      <w:pPr>
        <w:spacing w:after="60"/>
        <w:ind w:left="510" w:hanging="510"/>
      </w:pPr>
      <w:r>
        <w:rPr>
          <w:b/>
          <w:sz w:val="18"/>
        </w:rPr>
        <w:t xml:space="preserve">[r21] </w:t>
      </w:r>
      <w:r>
        <w:rPr>
          <w:sz w:val="18"/>
        </w:rPr>
        <w:t xml:space="preserve">Sirisreetreerux N, Pengrung N, Apivatthakakul T. Proximal humerus exposure with the inverted-L anterolateral deltoid flip approach, anterolateral deltoid splitting approach, and deltopectoral approach: A comparative cadaveric study. Injury. 2021;52(4):738-746. doi:10.1016/j.injury.2020.11.022 </w:t>
      </w:r>
      <w:r>
        <w:rPr>
          <w:i/>
          <w:color w:val="5A6469"/>
          <w:sz w:val="17"/>
        </w:rPr>
        <w:t xml:space="preserve">(serie · acceso resumen) </w:t>
      </w:r>
      <w:hyperlink r:id="rId13">
        <w:r>
          <w:rPr>
            <w:color w:val="0563C1"/>
            <w:u w:val="single"/>
            <w:sz w:val="18"/>
          </w:rPr>
          <w:t xml:space="preserve">https://doi.org/10.1016/j.injury.2020.11.022</w:t>
        </w:r>
      </w:hyperlink>
    </w:p>
    <w:p>
      <w:pPr>
        <w:spacing w:after="60"/>
        <w:ind w:left="510" w:hanging="510"/>
      </w:pPr>
      <w:r>
        <w:rPr>
          <w:b/>
          <w:sz w:val="18"/>
        </w:rPr>
        <w:t xml:space="preserve">[r41] </w:t>
      </w:r>
      <w:r>
        <w:rPr>
          <w:sz w:val="18"/>
        </w:rPr>
        <w:t xml:space="preserve">Cetik O, Uslu M, Acar HI, Comert A, Tekdemir I, Cift H. Is there a safe area for the axillary nerve in the deltoid muscle? A cadaveric study. J Bone Joint Surg Am. 2006;88(11):2395-9. doi:10.2106/JBJS.E.01375 </w:t>
      </w:r>
      <w:r>
        <w:rPr>
          <w:i/>
          <w:color w:val="5A6469"/>
          <w:sz w:val="17"/>
        </w:rPr>
        <w:t xml:space="preserve">(serie · acceso resumen) </w:t>
      </w:r>
      <w:hyperlink r:id="rId41">
        <w:r>
          <w:rPr>
            <w:color w:val="0563C1"/>
            <w:u w:val="single"/>
            <w:sz w:val="18"/>
          </w:rPr>
          <w:t xml:space="preserve">https://doi.org/10.2106/JBJS.E.01375</w:t>
        </w:r>
      </w:hyperlink>
    </w:p>
    <w:p>
      <w:pPr>
        <w:spacing w:after="60"/>
        <w:ind w:left="510" w:hanging="510"/>
      </w:pPr>
      <w:r>
        <w:rPr>
          <w:b/>
          <w:sz w:val="18"/>
        </w:rPr>
        <w:t xml:space="preserve">[r42] </w:t>
      </w:r>
      <w:r>
        <w:rPr>
          <w:sz w:val="18"/>
        </w:rPr>
        <w:t xml:space="preserve">Lottino B, Hohmann E, Naicker J, Mogale N. Morphometric analysis of the axillary nerve in relation to the deltopectoral and deltoid-splitting approaches: implications for surgical safe zones. Surg Radiol Anat. 2026;48(1):255. doi:10.1007/s00276-026-04018-2 </w:t>
      </w:r>
      <w:r>
        <w:rPr>
          <w:i/>
          <w:color w:val="5A6469"/>
          <w:sz w:val="17"/>
        </w:rPr>
        <w:t xml:space="preserve">(serie · acceso resumen) </w:t>
      </w:r>
      <w:hyperlink r:id="rId42">
        <w:r>
          <w:rPr>
            <w:color w:val="0563C1"/>
            <w:u w:val="single"/>
            <w:sz w:val="18"/>
          </w:rPr>
          <w:t xml:space="preserve">https://doi.org/10.1007/s00276-026-04018-2</w:t>
        </w:r>
      </w:hyperlink>
    </w:p>
    <w:p>
      <w:pPr>
        <w:pStyle w:val="Heading1"/>
      </w:pPr>
      <w:r>
        <w:t>Biomecánica: por qué el nervio se daña sin cortarlo</w:t>
      </w:r>
    </w:p>
    <w:p>
      <w:pPr>
        <w:pStyle w:val="Heading2"/>
      </w:pPr>
      <w:r>
        <w:t>La tracción como mecanismo</w:t>
      </w:r>
    </w:p>
    <w:p>
      <w:r>
        <w:rPr/>
        <w:t>Piensa en el nervio como una cinta que se estira. En 10 cadáveres, cada clic del separador (hasta 6) lo alargó un poco más: al final el alargamiento medio fue de 8,42 mm y la deformación media de 51 % (28 % a 99 %), con ruptura de la mielina y retracción de axones al microscopio [r3]. Los autores lo describen como un daño progresivo e irreversible [r3]. Son cadáveres y solo 10 especímenes, pero el mensaje didáctico se sostiene: el tiempo de separador cuenta.</w:t>
      </w:r>
    </w:p>
    <w:p>
      <w:r>
        <w:rPr/>
        <w:t>Una revisión narrativa va en la misma línea: en el hombro, el nervio rara vez se corta; lo habitual es estirarlo o contundirlo, y la prevención está en cómo colocas al paciente, dónde apoyas el separador y cómo mueves el brazo [r37].</w:t>
      </w:r>
    </w:p>
    <w:p>
      <w:pPr>
        <w:pStyle w:val="Heading2"/>
      </w:pPr>
      <w:r>
        <w:t>La posición del brazo mueve el nervio</w:t>
      </w:r>
    </w:p>
    <w:p>
      <w:r>
        <w:rPr/>
        <w:t>Dónde pongas el brazo decide cuánto margen te queda. Con abducción vertical de 60°, el nervio se acercó al acromion medio: su borde superior pasó de 66,6 mm a 53,9 mm y el inferior de 75,7 mm a 61,6 mm (7 hombros) [r9]. La flexión anterior no lo movió, y la rotación casi tampoco [r9]. La AO recomienda abducir el hombro en el deltopectoral para relajar el deltoides [r31]; en la vía lateral, esa misma abducción acerca el nervio al acromion [r9]. Lectura propia: no copies hábitos de una vía a la otra.</w:t>
      </w:r>
    </w:p>
    <w:p>
      <w:pPr>
        <w:pStyle w:val="Heading2"/>
      </w:pPr>
      <w:r>
        <w:t>Vasos e inserción del deltoides</w:t>
      </w:r>
    </w:p>
    <w:p>
      <w:r>
        <w:rPr/>
        <w:t>Al deslizar la placa por un túnel bajo el músculo desde la ventana lateral, en 8 de 8 brazos de cadáver se lesionó la parte central de la inserción distal del deltoides, respetando siempre los 2 segmentos más anteriores y los 2 más posteriores; ningún axilar sufrió daño [r43]. Su relevancia clínica no está clara [r43].</w:t>
      </w:r>
    </w:p>
    <w:p>
      <w:pPr>
        <w:pStyle w:val="Heading2"/>
      </w:pPr>
      <w:r>
        <w:t>Posición del paciente</w:t>
      </w:r>
    </w:p>
    <w:p>
      <w:r>
        <w:rPr/>
        <w:t>Las series de MIPO operan en silla de playa o en supino para tener dos planos de escopia [r28][r27]. En silla de playa, una revisión de 9 estudios con 339 pacientes en artroscopía halló una incidencia media de eventos de desaturación cerebral de 28,8 % [r44]. Se extrapola con cautela a la cirugía abierta de fractura: coordina la presión arterial con anestesia (práctica habitual / opinión experta).</w:t>
      </w:r>
    </w:p>
    <w:p>
      <w:pPr>
        <w:keepNext/>
      </w:pPr>
      <w:r>
        <w:rPr>
          <w:b/>
          <w:color w:val="0F5F6B"/>
          <w:sz w:val="20"/>
        </w:rPr>
        <w:t>Figura 2. Distancia al acromion medio según la posición del brazo</w:t>
      </w:r>
      <w:r>
        <w:rPr>
          <w:color w:val="5A6469"/>
          <w:sz w:val="18"/>
        </w:rPr>
        <w:t xml:space="preserve">  [r9]</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Traver JL, Guzman MA, Cannada LK, Kaar SG. Is the Axillary Nerve at Risk During a Deltoid-Splitting Approach for Proximal Humerus Fractures? J Orthop Trauma. 2016;30(5):240-4. doi:10.1097/BOT.0000000000000492 </w:t>
      </w:r>
      <w:r>
        <w:rPr>
          <w:i/>
          <w:color w:val="5A6469"/>
          <w:sz w:val="17"/>
        </w:rPr>
        <w:t xml:space="preserve">(serie · acceso resumen) </w:t>
      </w:r>
      <w:hyperlink r:id="rId37">
        <w:r>
          <w:rPr>
            <w:color w:val="0563C1"/>
            <w:u w:val="single"/>
            <w:sz w:val="18"/>
          </w:rPr>
          <w:t xml:space="preserve">https://doi.org/10.1097/BOT.0000000000000492</w:t>
        </w:r>
      </w:hyperlink>
    </w:p>
    <w:p>
      <w:pPr>
        <w:spacing w:after="60"/>
        <w:ind w:left="510" w:hanging="510"/>
      </w:pPr>
      <w:r>
        <w:rPr>
          <w:b/>
          <w:sz w:val="18"/>
        </w:rPr>
        <w:t xml:space="preserve">[r9] </w:t>
      </w:r>
      <w:r>
        <w:rPr>
          <w:sz w:val="18"/>
        </w:rPr>
        <w:t xml:space="preserve">Cheung S, Fitzpatrick M, Lee TQ. Effects of shoulder position on axillary nerve positions during the split lateral deltoid approach. J Shoulder Elbow Surg. 2009;18(5):748-55. doi:10.1016/j.jse.2008.12.001 </w:t>
      </w:r>
      <w:r>
        <w:rPr>
          <w:i/>
          <w:color w:val="5A6469"/>
          <w:sz w:val="17"/>
        </w:rPr>
        <w:t xml:space="preserve">(serie · acceso resumen) </w:t>
      </w:r>
      <w:hyperlink r:id="rId38">
        <w:r>
          <w:rPr>
            <w:color w:val="0563C1"/>
            <w:u w:val="single"/>
            <w:sz w:val="18"/>
          </w:rPr>
          <w:t xml:space="preserve">https://doi.org/10.1016/j.jse.2008.12.001</w:t>
        </w:r>
      </w:hyperlink>
    </w:p>
    <w:p>
      <w:pPr>
        <w:spacing w:after="60"/>
        <w:ind w:left="510" w:hanging="510"/>
      </w:pPr>
      <w:r>
        <w:rPr>
          <w:b/>
          <w:sz w:val="18"/>
        </w:rPr>
        <w:t xml:space="preserve">[r27] </w:t>
      </w:r>
      <w:r>
        <w:rPr>
          <w:sz w:val="18"/>
        </w:rPr>
        <w:t xml:space="preserve">Acklin YP, Sommer C. Plate fixation of proximal humerus fractures using the minimally invasive anterolateral delta split approach. Oper Orthop Traumatol. 2012;24(1):61-73. doi:10.1007/s00064-011-0051-9 </w:t>
      </w:r>
      <w:r>
        <w:rPr>
          <w:i/>
          <w:color w:val="5A6469"/>
          <w:sz w:val="17"/>
        </w:rPr>
        <w:t xml:space="preserve">(serie · acceso resumen) </w:t>
      </w:r>
      <w:hyperlink r:id="rId16">
        <w:r>
          <w:rPr>
            <w:color w:val="0563C1"/>
            <w:u w:val="single"/>
            <w:sz w:val="18"/>
          </w:rPr>
          <w:t xml:space="preserve">https://doi.org/10.1007/s00064-011-0051-9</w:t>
        </w:r>
      </w:hyperlink>
    </w:p>
    <w:p>
      <w:pPr>
        <w:spacing w:after="60"/>
        <w:ind w:left="510" w:hanging="510"/>
      </w:pPr>
      <w:r>
        <w:rPr>
          <w:b/>
          <w:sz w:val="18"/>
        </w:rPr>
        <w:t xml:space="preserve">[r28] </w:t>
      </w:r>
      <w:r>
        <w:rPr>
          <w:sz w:val="18"/>
        </w:rPr>
        <w:t xml:space="preserve">Lin T, Xiao B, Ma X, Fu D, Yang S. Minimally invasive plate osteosynthesis with a locking compression plate is superior to open reduction and internal fixation in the management of the proximal humerus fractures. BMC Musculoskelet Disord. 2014;15:206. doi:10.1186/1471-2474-15-206 </w:t>
      </w:r>
      <w:r>
        <w:rPr>
          <w:i/>
          <w:color w:val="5A6469"/>
          <w:sz w:val="17"/>
        </w:rPr>
        <w:t xml:space="preserve">(cohorte · acceso abierto) </w:t>
      </w:r>
      <w:hyperlink r:id="rId17">
        <w:r>
          <w:rPr>
            <w:color w:val="0563C1"/>
            <w:u w:val="single"/>
            <w:sz w:val="18"/>
          </w:rPr>
          <w:t xml:space="preserve">https://doi.org/10.1186/1471-2474-15-206</w:t>
        </w:r>
      </w:hyperlink>
    </w:p>
    <w:p>
      <w:pPr>
        <w:spacing w:after="60"/>
        <w:ind w:left="510" w:hanging="510"/>
      </w:pPr>
      <w:r>
        <w:rPr>
          <w:b/>
          <w:sz w:val="18"/>
        </w:rPr>
        <w:t xml:space="preserve">[r31] </w:t>
      </w:r>
      <w:r>
        <w:rPr>
          <w:sz w:val="18"/>
        </w:rPr>
        <w:t xml:space="preserve">Jaeger M, Leung F, Li W. Deltopectoral approach to the proximal humerus [Internet]. En: AO Surgery Reference. Davos: AO Foundation [consultado 2026 oct 12]. Disponible en: https://surgeryreference.aofoundation.org/orthopedic-trauma/adult-trauma/proximal-humerus/approach/deltopectoral-approach-to-the-proximal-humerus </w:t>
      </w:r>
      <w:r>
        <w:rPr>
          <w:i/>
          <w:color w:val="5A6469"/>
          <w:sz w:val="17"/>
        </w:rPr>
        <w:t xml:space="preserve">(web-oficial · acceso abierto) </w:t>
      </w:r>
      <w:hyperlink r:id="rId20">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[r37] </w:t>
      </w:r>
      <w:r>
        <w:rPr>
          <w:sz w:val="18"/>
        </w:rPr>
        <w:t xml:space="preserve">Boardman ND 3rd, Cofield RH. Neurologic complications of shoulder surgery. Clin Orthop Relat Res. 1999;(368):44-53. </w:t>
      </w:r>
      <w:r>
        <w:rPr>
          <w:i/>
          <w:color w:val="5A6469"/>
          <w:sz w:val="17"/>
        </w:rPr>
        <w:t xml:space="preserve">(revision · acceso resumen) </w:t>
      </w:r>
      <w:hyperlink r:id="rId30">
        <w:r>
          <w:rPr>
            <w:color w:val="0563C1"/>
            <w:u w:val="single"/>
            <w:sz w:val="18"/>
          </w:rPr>
          <w:t xml:space="preserve">https://pubmed.ncbi.nlm.nih.gov/10613152/</w:t>
        </w:r>
      </w:hyperlink>
    </w:p>
    <w:p>
      <w:pPr>
        <w:spacing w:after="60"/>
        <w:ind w:left="510" w:hanging="510"/>
      </w:pPr>
      <w:r>
        <w:rPr>
          <w:b/>
          <w:sz w:val="18"/>
        </w:rPr>
        <w:t xml:space="preserve">[r43] </w:t>
      </w:r>
      <w:r>
        <w:rPr>
          <w:sz w:val="18"/>
        </w:rPr>
        <w:t xml:space="preserve">Benninger E, Meier C. Minimally invasive lateral plate placement for metadiaphyseal fractures of the humerus and its implications for the distal deltoid insertion- it is not only about the radial nerve. A cadaveric study. Injury. 2017;48(3):615-620. doi:10.1016/j.injury.2017.01.026 </w:t>
      </w:r>
      <w:r>
        <w:rPr>
          <w:i/>
          <w:color w:val="5A6469"/>
          <w:sz w:val="17"/>
        </w:rPr>
        <w:t xml:space="preserve">(serie · acceso resumen) </w:t>
      </w:r>
      <w:hyperlink r:id="rId44">
        <w:r>
          <w:rPr>
            <w:color w:val="0563C1"/>
            <w:u w:val="single"/>
            <w:sz w:val="18"/>
          </w:rPr>
          <w:t xml:space="preserve">https://doi.org/10.1016/j.injury.2017.01.026</w:t>
        </w:r>
      </w:hyperlink>
    </w:p>
    <w:p>
      <w:pPr>
        <w:spacing w:after="60"/>
        <w:ind w:left="510" w:hanging="510"/>
      </w:pPr>
      <w:r>
        <w:rPr>
          <w:b/>
          <w:sz w:val="18"/>
        </w:rPr>
        <w:t xml:space="preserve">[r44] </w:t>
      </w:r>
      <w:r>
        <w:rPr>
          <w:sz w:val="18"/>
        </w:rPr>
        <w:t xml:space="preserve">Pant S, Bokor DJ, Low AK. Cerebral oxygenation using near-infrared spectroscopy in the beach-chair position during shoulder arthroscopy under general anesthesia. Arthroscopy. 2014;30(11):1520-7. doi:10.1016/j.arthro.2014.05.042 </w:t>
      </w:r>
      <w:r>
        <w:rPr>
          <w:i/>
          <w:color w:val="5A6469"/>
          <w:sz w:val="17"/>
        </w:rPr>
        <w:t xml:space="preserve">(RS-MA · acceso resumen) </w:t>
      </w:r>
      <w:hyperlink r:id="rId45">
        <w:r>
          <w:rPr>
            <w:color w:val="0563C1"/>
            <w:u w:val="single"/>
            <w:sz w:val="18"/>
          </w:rPr>
          <w:t xml:space="preserve">https://doi.org/10.1016/j.arthro.2014.05.042</w:t>
        </w:r>
      </w:hyperlink>
    </w:p>
    <w:p>
      <w:pPr>
        <w:pStyle w:val="Heading1"/>
      </w:pPr>
      <w:r>
        <w:t>Examen físico</w:t>
      </w:r>
    </w:p>
    <w:p>
      <w:pPr>
        <w:pStyle w:val="Heading2"/>
      </w:pPr>
      <w:r>
        <w:t>El nervio: lo que debes registrar y por qué la clínica no basta</w:t>
      </w:r>
    </w:p>
    <w:p>
      <w:r>
        <w:rPr/>
        <w:t>Antes de la primera incisión, explora y anota la fuerza de las tres porciones del deltoides y la sensibilidad del territorio lateral del brazo (práctica habitual / opinión experta). El motivo está en los datos: en 143 fracturas, la detección solo con el examen clínico resultó muy difícil y el EMG fue más útil [r15]; tras placa por vía deltoidea, 10 % de lesiones permanentes superó lo que sugería la clínica [r16]. Sin dato verificable: no encontré la sensibilidad ni la especificidad de las maniobras clínicas del deltoides y del axilar.</w:t>
      </w:r>
    </w:p>
    <w:p>
      <w:pPr>
        <w:pStyle w:val="Heading2"/>
      </w:pPr>
      <w:r>
        <w:t>El manguito: pruebas que sí tienen cifras</w:t>
      </w:r>
    </w:p>
    <w:p>
      <w:r>
        <w:rPr/>
        <w:t>Si el motivo de entrar por el lado lateral es el manguito, o si quieres descartar uno antes de fijar una fractura, los datos vienen de una revisión de 28 estudios hechos por especialistas, de los cuales solo 5 alcanzaron nivel 1 a 2 de calidad [r45]. Reporta cocientes de verosimilitud, no sensibilidad y especificidad, y los autores no saben si valen fuera de la consulta del especialista [r45].</w:t>
      </w:r>
    </w:p>
    <w:p>
      <w:pPr>
        <w:keepNext/>
      </w:pPr>
      <w:r>
        <w:rPr>
          <w:b/>
          <w:color w:val="0F5F6B"/>
          <w:sz w:val="20"/>
        </w:rPr>
        <w:t>Tabla 3. Pruebas del manguito: cocientes de verosimilitud (LR)</w:t>
      </w:r>
      <w:r>
        <w:rPr>
          <w:color w:val="5A6469"/>
          <w:sz w:val="18"/>
        </w:rPr>
        <w:t xml:space="preserve">  [r45]</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Prueba</w:t>
            </w:r>
          </w:p>
        </w:tc>
        <w:tc>
          <w:tcPr>
            <w:tcW w:type="dxa" w:w="1882"/>
            <w:shd w:val="clear" w:color="auto" w:fill="0F5F6B"/>
          </w:tcPr>
          <w:p>
            <w:r/>
            <w:r>
              <w:rPr>
                <w:b/>
                <w:color w:val="FFFFFF"/>
                <w:sz w:val="20"/>
              </w:rPr>
              <w:t>Para qué</w:t>
            </w:r>
          </w:p>
        </w:tc>
        <w:tc>
          <w:tcPr>
            <w:tcW w:type="dxa" w:w="1882"/>
            <w:shd w:val="clear" w:color="auto" w:fill="0F5F6B"/>
          </w:tcPr>
          <w:p>
            <w:r/>
            <w:r>
              <w:rPr>
                <w:b/>
                <w:color w:val="FFFFFF"/>
                <w:sz w:val="20"/>
              </w:rPr>
              <w:t>LR positivo (IC 95 %)</w:t>
            </w:r>
          </w:p>
        </w:tc>
        <w:tc>
          <w:tcPr>
            <w:tcW w:type="dxa" w:w="1882"/>
            <w:shd w:val="clear" w:color="auto" w:fill="0F5F6B"/>
          </w:tcPr>
          <w:p>
            <w:r/>
            <w:r>
              <w:rPr>
                <w:b/>
                <w:color w:val="FFFFFF"/>
                <w:sz w:val="20"/>
              </w:rPr>
              <w:t>LR negativo (IC 95 %)</w:t>
            </w:r>
          </w:p>
        </w:tc>
        <w:tc>
          <w:tcPr>
            <w:tcW w:type="dxa" w:w="1882"/>
            <w:shd w:val="clear" w:color="auto" w:fill="0F5F6B"/>
          </w:tcPr>
          <w:p>
            <w:r/>
            <w:r>
              <w:rPr>
                <w:b/>
                <w:color w:val="FFFFFF"/>
                <w:sz w:val="20"/>
              </w:rPr>
              <w:t>Fuente</w:t>
            </w:r>
          </w:p>
        </w:tc>
      </w:tr>
      <w:tr>
        <w:tc>
          <w:tcPr>
            <w:tcW w:type="dxa" w:w="1882"/>
          </w:tcPr>
          <w:p>
            <w:r/>
            <w:r>
              <w:rPr>
                <w:sz w:val="20"/>
              </w:rPr>
              <w:t>Arco doloroso</w:t>
            </w:r>
          </w:p>
        </w:tc>
        <w:tc>
          <w:tcPr>
            <w:tcW w:type="dxa" w:w="1882"/>
          </w:tcPr>
          <w:p>
            <w:r/>
            <w:r>
              <w:rPr>
                <w:sz w:val="20"/>
              </w:rPr>
              <w:t>Enfermedad del manguito</w:t>
            </w:r>
          </w:p>
        </w:tc>
        <w:tc>
          <w:tcPr>
            <w:tcW w:type="dxa" w:w="1882"/>
          </w:tcPr>
          <w:p>
            <w:r/>
            <w:r>
              <w:rPr>
                <w:sz w:val="20"/>
              </w:rPr>
              <w:t>3,7 (1,9 a 7,0)</w:t>
            </w:r>
          </w:p>
        </w:tc>
        <w:tc>
          <w:tcPr>
            <w:tcW w:type="dxa" w:w="1882"/>
          </w:tcPr>
          <w:p>
            <w:r/>
            <w:r>
              <w:rPr>
                <w:sz w:val="20"/>
              </w:rPr>
              <w:t>0,36 (0,23 a 0,54)</w:t>
            </w:r>
          </w:p>
        </w:tc>
        <w:tc>
          <w:tcPr>
            <w:tcW w:type="dxa" w:w="1882"/>
          </w:tcPr>
          <w:p>
            <w:r/>
            <w:r>
              <w:rPr>
                <w:sz w:val="20"/>
              </w:rPr>
              <w:t>[r45]</w:t>
            </w:r>
          </w:p>
        </w:tc>
      </w:tr>
      <w:tr>
        <w:tc>
          <w:tcPr>
            <w:tcW w:type="dxa" w:w="1882"/>
            <w:shd w:val="clear" w:color="auto" w:fill="EEF3F4"/>
          </w:tcPr>
          <w:p>
            <w:r/>
            <w:r>
              <w:rPr>
                <w:sz w:val="20"/>
              </w:rPr>
              <w:t>Retraso en rotación externa</w:t>
            </w:r>
          </w:p>
        </w:tc>
        <w:tc>
          <w:tcPr>
            <w:tcW w:type="dxa" w:w="1882"/>
            <w:shd w:val="clear" w:color="auto" w:fill="EEF3F4"/>
          </w:tcPr>
          <w:p>
            <w:r/>
            <w:r>
              <w:rPr>
                <w:sz w:val="20"/>
              </w:rPr>
              <w:t>Rotura de espesor total</w:t>
            </w:r>
          </w:p>
        </w:tc>
        <w:tc>
          <w:tcPr>
            <w:tcW w:type="dxa" w:w="1882"/>
            <w:shd w:val="clear" w:color="auto" w:fill="EEF3F4"/>
          </w:tcPr>
          <w:p>
            <w:r/>
            <w:r>
              <w:rPr>
                <w:sz w:val="20"/>
              </w:rPr>
              <w:t>7,2 (1,7 a 31)</w:t>
            </w:r>
          </w:p>
        </w:tc>
        <w:tc>
          <w:tcPr>
            <w:tcW w:type="dxa" w:w="1882"/>
            <w:shd w:val="clear" w:color="auto" w:fill="EEF3F4"/>
          </w:tcPr>
          <w:p>
            <w:r/>
            <w:r>
              <w:rPr>
                <w:sz w:val="20"/>
              </w:rPr>
              <w:t>sin dato en este resumen</w:t>
            </w:r>
          </w:p>
        </w:tc>
        <w:tc>
          <w:tcPr>
            <w:tcW w:type="dxa" w:w="1882"/>
            <w:shd w:val="clear" w:color="auto" w:fill="EEF3F4"/>
          </w:tcPr>
          <w:p>
            <w:r/>
            <w:r>
              <w:rPr>
                <w:sz w:val="20"/>
              </w:rPr>
              <w:t>[r45]</w:t>
            </w:r>
          </w:p>
        </w:tc>
      </w:tr>
      <w:tr>
        <w:tc>
          <w:tcPr>
            <w:tcW w:type="dxa" w:w="1882"/>
          </w:tcPr>
          <w:p>
            <w:r/>
            <w:r>
              <w:rPr>
                <w:sz w:val="20"/>
              </w:rPr>
              <w:t>Retraso en rotación interna</w:t>
            </w:r>
          </w:p>
        </w:tc>
        <w:tc>
          <w:tcPr>
            <w:tcW w:type="dxa" w:w="1882"/>
          </w:tcPr>
          <w:p>
            <w:r/>
            <w:r>
              <w:rPr>
                <w:sz w:val="20"/>
              </w:rPr>
              <w:t>Rotura de espesor total</w:t>
            </w:r>
          </w:p>
        </w:tc>
        <w:tc>
          <w:tcPr>
            <w:tcW w:type="dxa" w:w="1882"/>
          </w:tcPr>
          <w:p>
            <w:r/>
            <w:r>
              <w:rPr>
                <w:sz w:val="20"/>
              </w:rPr>
              <w:t>5,6 (2,6 a 12)</w:t>
            </w:r>
          </w:p>
        </w:tc>
        <w:tc>
          <w:tcPr>
            <w:tcW w:type="dxa" w:w="1882"/>
          </w:tcPr>
          <w:p>
            <w:r/>
            <w:r>
              <w:rPr>
                <w:sz w:val="20"/>
              </w:rPr>
              <w:t>0,04 (0,0 a 0,58)</w:t>
            </w:r>
          </w:p>
        </w:tc>
        <w:tc>
          <w:tcPr>
            <w:tcW w:type="dxa" w:w="1882"/>
          </w:tcPr>
          <w:p>
            <w:r/>
            <w:r>
              <w:rPr>
                <w:sz w:val="20"/>
              </w:rPr>
              <w:t>[r45]</w:t>
            </w:r>
          </w:p>
        </w:tc>
      </w:tr>
      <w:tr>
        <w:tc>
          <w:tcPr>
            <w:tcW w:type="dxa" w:w="1882"/>
            <w:shd w:val="clear" w:color="auto" w:fill="EEF3F4"/>
          </w:tcPr>
          <w:p>
            <w:r/>
            <w:r>
              <w:rPr>
                <w:sz w:val="20"/>
              </w:rPr>
              <w:t>Caída del brazo</w:t>
            </w:r>
          </w:p>
        </w:tc>
        <w:tc>
          <w:tcPr>
            <w:tcW w:type="dxa" w:w="1882"/>
            <w:shd w:val="clear" w:color="auto" w:fill="EEF3F4"/>
          </w:tcPr>
          <w:p>
            <w:r/>
            <w:r>
              <w:rPr>
                <w:sz w:val="20"/>
              </w:rPr>
              <w:t>Enfermedad del manguito</w:t>
            </w:r>
          </w:p>
        </w:tc>
        <w:tc>
          <w:tcPr>
            <w:tcW w:type="dxa" w:w="1882"/>
            <w:shd w:val="clear" w:color="auto" w:fill="EEF3F4"/>
          </w:tcPr>
          <w:p>
            <w:r/>
            <w:r>
              <w:rPr>
                <w:sz w:val="20"/>
              </w:rPr>
              <w:t>3,3 (1,0 a 11)</w:t>
            </w:r>
          </w:p>
        </w:tc>
        <w:tc>
          <w:tcPr>
            <w:tcW w:type="dxa" w:w="1882"/>
            <w:shd w:val="clear" w:color="auto" w:fill="EEF3F4"/>
          </w:tcPr>
          <w:p>
            <w:r/>
            <w:r>
              <w:rPr>
                <w:sz w:val="20"/>
              </w:rPr>
              <w:t>sin dato en este resumen</w:t>
            </w:r>
          </w:p>
        </w:tc>
        <w:tc>
          <w:tcPr>
            <w:tcW w:type="dxa" w:w="1882"/>
            <w:shd w:val="clear" w:color="auto" w:fill="EEF3F4"/>
          </w:tcPr>
          <w:p>
            <w:r/>
            <w:r>
              <w:rPr>
                <w:sz w:val="20"/>
              </w:rPr>
              <w:t>[r45]</w:t>
            </w:r>
          </w:p>
        </w:tc>
      </w:tr>
    </w:tbl>
    <w:p/>
    <w:p>
      <w:pPr>
        <w:keepNext/>
      </w:pPr>
      <w:r>
        <w:rPr>
          <w:b/>
          <w:color w:val="0F5F6B"/>
          <w:sz w:val="20"/>
        </w:rPr>
        <w:t>Referencias de este bloque</w:t>
      </w:r>
    </w:p>
    <w:p>
      <w:pPr>
        <w:spacing w:after="60"/>
        <w:ind w:left="510" w:hanging="510"/>
      </w:pPr>
      <w:r>
        <w:rPr>
          <w:b/>
          <w:sz w:val="18"/>
        </w:rPr>
        <w:t xml:space="preserve">[r15] </w:t>
      </w:r>
      <w:r>
        <w:rPr>
          <w:sz w:val="18"/>
        </w:rPr>
        <w:t xml:space="preserve">Visser CP, Coene LN, Brand R, Tavy DL. Nerve lesions in proximal humeral fractures. J Shoulder Elbow Surg. 2001;10(5):421-7. doi:10.1067/mse.2001.118002 </w:t>
      </w:r>
      <w:r>
        <w:rPr>
          <w:i/>
          <w:color w:val="5A6469"/>
          <w:sz w:val="17"/>
        </w:rPr>
        <w:t xml:space="preserve">(cohorte · acceso resumen) </w:t>
      </w:r>
      <w:hyperlink r:id="rId24">
        <w:r>
          <w:rPr>
            <w:color w:val="0563C1"/>
            <w:u w:val="single"/>
            <w:sz w:val="18"/>
          </w:rPr>
          <w:t xml:space="preserve">https://doi.org/10.1067/mse.2001.118002</w:t>
        </w:r>
      </w:hyperlink>
    </w:p>
    <w:p>
      <w:pPr>
        <w:spacing w:after="60"/>
        <w:ind w:left="510" w:hanging="510"/>
      </w:pPr>
      <w:r>
        <w:rPr>
          <w:b/>
          <w:sz w:val="18"/>
        </w:rPr>
        <w:t xml:space="preserve">[r16] </w:t>
      </w:r>
      <w:r>
        <w:rPr>
          <w:sz w:val="18"/>
        </w:rPr>
        <w:t xml:space="preserve">Westphal T, Woischnik S, Adolf D, Feistner H, Piatek S. Axillary nerve lesions after open reduction and internal fixation of proximal humeral fractures through an extended lateral deltoid-split approach: electrophysiological findings. J Shoulder Elbow Surg. 2017;26(3):464-471. doi:10.1016/j.jse.2016.07.027 </w:t>
      </w:r>
      <w:r>
        <w:rPr>
          <w:i/>
          <w:color w:val="5A6469"/>
          <w:sz w:val="17"/>
        </w:rPr>
        <w:t xml:space="preserve">(cohorte · acceso resumen) </w:t>
      </w:r>
      <w:hyperlink r:id="rId25">
        <w:r>
          <w:rPr>
            <w:color w:val="0563C1"/>
            <w:u w:val="single"/>
            <w:sz w:val="18"/>
          </w:rPr>
          <w:t xml:space="preserve">https://doi.org/10.1016/j.jse.2016.07.027</w:t>
        </w:r>
      </w:hyperlink>
    </w:p>
    <w:p>
      <w:pPr>
        <w:spacing w:after="60"/>
        <w:ind w:left="510" w:hanging="510"/>
      </w:pPr>
      <w:r>
        <w:rPr>
          <w:b/>
          <w:sz w:val="18"/>
        </w:rPr>
        <w:t xml:space="preserve">[r45] </w:t>
      </w:r>
      <w:r>
        <w:rPr>
          <w:sz w:val="18"/>
        </w:rPr>
        <w:t xml:space="preserve">Hermans J, Luime JJ, Meuffels DE, Reijman M, Simel DL, Bierma-Zeinstra SM. Does this patient with shoulder pain have rotator cuff disease?: The Rational Clinical Examination systematic review. JAMA. 2013;310(8):837-47. doi:10.1001/jama.2013.276187 </w:t>
      </w:r>
      <w:r>
        <w:rPr>
          <w:i/>
          <w:color w:val="5A6469"/>
          <w:sz w:val="17"/>
        </w:rPr>
        <w:t xml:space="preserve">(RS-MA · acceso resumen) </w:t>
      </w:r>
      <w:hyperlink r:id="rId46">
        <w:r>
          <w:rPr>
            <w:color w:val="0563C1"/>
            <w:u w:val="single"/>
            <w:sz w:val="18"/>
          </w:rPr>
          <w:t xml:space="preserve">https://doi.org/10.1001/jama.2013.276187</w:t>
        </w:r>
      </w:hyperlink>
    </w:p>
    <w:p>
      <w:pPr>
        <w:pStyle w:val="Heading1"/>
      </w:pPr>
      <w:r>
        <w:t>Imágenes</w:t>
      </w:r>
    </w:p>
    <w:p>
      <w:pPr>
        <w:pStyle w:val="Heading2"/>
      </w:pPr>
      <w:r>
        <w:t>Qué pedir y cuándo</w:t>
      </w:r>
    </w:p>
    <w:p>
      <w:r>
        <w:rPr/>
        <w:t>Ante dolor agudo de hombro, la radiografía es el primer estudio; si es normal o dudosa, la guía del Colegio Americano de Radiología añade ecografía, RM o TC según el caso [r46]. En un consenso Delphi de la Neer Circle (86 expertos identificados), hubo acuerdo sobre el valor de la TC con reconstrucción 3D para decidir en fracturas del húmero proximal [r47]. Para el nervio, las lesiones de estas series se detectaron con estudios eléctricos [r16][r13]; en una de ellas el EMG se pidió a las 3 a 4 semanas [r13].</w:t>
      </w:r>
    </w:p>
    <w:p>
      <w:pPr>
        <w:pStyle w:val="Heading2"/>
      </w:pPr>
      <w:r>
        <w:t>Manguito: cifras de la Cochrane</w:t>
      </w:r>
    </w:p>
    <w:p>
      <w:r>
        <w:rPr/>
        <w:t>En 20 estudios con 1147 hombros, para rotura de espesor total la RM tuvo sensibilidad de 94 % y especificidad de 93 %, la artro-RM 94 % y 92 %, y la ecografía 92 % y 93 % [r48]. Para descartar cualquier rotura, no solo las completas, la RM detectó casi todas (sensibilidad 98 %) pero con especificidad de 79 %; la ecografía tuvo 91 % y 85 % [r48]. En rotura parcial, ambas pueden tener sensibilidad pobre, y la de la ecografía mucho menor que la de la RM [r48]. La calidad de los estudios fue baja o poco clara [r48].</w:t>
      </w:r>
    </w:p>
    <w:p>
      <w:pPr>
        <w:keepNext/>
      </w:pPr>
      <w:r>
        <w:rPr>
          <w:b/>
          <w:color w:val="0F5F6B"/>
          <w:sz w:val="20"/>
        </w:rPr>
        <w:t>Tabla 4. Manguito: exactitud de las imágenes (Cochrane, 20 estudios)</w:t>
      </w:r>
      <w:r>
        <w:rPr>
          <w:color w:val="5A6469"/>
          <w:sz w:val="18"/>
        </w:rPr>
        <w:t xml:space="preserve">  [r48]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Método</w:t>
            </w:r>
          </w:p>
        </w:tc>
        <w:tc>
          <w:tcPr>
            <w:tcW w:type="dxa" w:w="2353"/>
            <w:shd w:val="clear" w:color="auto" w:fill="0F5F6B"/>
          </w:tcPr>
          <w:p>
            <w:r/>
            <w:r>
              <w:rPr>
                <w:b/>
                <w:color w:val="FFFFFF"/>
                <w:sz w:val="20"/>
              </w:rPr>
              <w:t>Rotura de espesor total (sens. / esp.)</w:t>
            </w:r>
          </w:p>
        </w:tc>
        <w:tc>
          <w:tcPr>
            <w:tcW w:type="dxa" w:w="2353"/>
            <w:shd w:val="clear" w:color="auto" w:fill="0F5F6B"/>
          </w:tcPr>
          <w:p>
            <w:r/>
            <w:r>
              <w:rPr>
                <w:b/>
                <w:color w:val="FFFFFF"/>
                <w:sz w:val="20"/>
              </w:rPr>
              <w:t>Cualquier rotura (sens. / esp.)</w:t>
            </w:r>
          </w:p>
        </w:tc>
        <w:tc>
          <w:tcPr>
            <w:tcW w:type="dxa" w:w="2353"/>
            <w:shd w:val="clear" w:color="auto" w:fill="0F5F6B"/>
          </w:tcPr>
          <w:p>
            <w:r/>
            <w:r>
              <w:rPr>
                <w:b/>
                <w:color w:val="FFFFFF"/>
                <w:sz w:val="20"/>
              </w:rPr>
              <w:t>Fuente</w:t>
            </w:r>
          </w:p>
        </w:tc>
      </w:tr>
      <w:tr>
        <w:tc>
          <w:tcPr>
            <w:tcW w:type="dxa" w:w="2353"/>
          </w:tcPr>
          <w:p>
            <w:r/>
            <w:r>
              <w:rPr>
                <w:sz w:val="20"/>
              </w:rPr>
              <w:t>RM</w:t>
            </w:r>
          </w:p>
        </w:tc>
        <w:tc>
          <w:tcPr>
            <w:tcW w:type="dxa" w:w="2353"/>
          </w:tcPr>
          <w:p>
            <w:r/>
            <w:r>
              <w:rPr>
                <w:sz w:val="20"/>
              </w:rPr>
              <w:t>94 % / 93 %</w:t>
            </w:r>
          </w:p>
        </w:tc>
        <w:tc>
          <w:tcPr>
            <w:tcW w:type="dxa" w:w="2353"/>
          </w:tcPr>
          <w:p>
            <w:r/>
            <w:r>
              <w:rPr>
                <w:sz w:val="20"/>
              </w:rPr>
              <w:t>98 % / 79 %</w:t>
            </w:r>
          </w:p>
        </w:tc>
        <w:tc>
          <w:tcPr>
            <w:tcW w:type="dxa" w:w="2353"/>
          </w:tcPr>
          <w:p>
            <w:r/>
            <w:r>
              <w:rPr>
                <w:sz w:val="20"/>
              </w:rPr>
              <w:t>[r48]</w:t>
            </w:r>
          </w:p>
        </w:tc>
      </w:tr>
      <w:tr>
        <w:tc>
          <w:tcPr>
            <w:tcW w:type="dxa" w:w="2353"/>
            <w:shd w:val="clear" w:color="auto" w:fill="EEF3F4"/>
          </w:tcPr>
          <w:p>
            <w:r/>
            <w:r>
              <w:rPr>
                <w:sz w:val="20"/>
              </w:rPr>
              <w:t>Artro-RM</w:t>
            </w:r>
          </w:p>
        </w:tc>
        <w:tc>
          <w:tcPr>
            <w:tcW w:type="dxa" w:w="2353"/>
            <w:shd w:val="clear" w:color="auto" w:fill="EEF3F4"/>
          </w:tcPr>
          <w:p>
            <w:r/>
            <w:r>
              <w:rPr>
                <w:sz w:val="20"/>
              </w:rPr>
              <w:t>94 % / 92 %</w:t>
            </w:r>
          </w:p>
        </w:tc>
        <w:tc>
          <w:tcPr>
            <w:tcW w:type="dxa" w:w="2353"/>
            <w:shd w:val="clear" w:color="auto" w:fill="EEF3F4"/>
          </w:tcPr>
          <w:p>
            <w:r/>
            <w:r>
              <w:rPr>
                <w:sz w:val="20"/>
              </w:rPr>
              <w:t>sin dato</w:t>
            </w:r>
          </w:p>
        </w:tc>
        <w:tc>
          <w:tcPr>
            <w:tcW w:type="dxa" w:w="2353"/>
            <w:shd w:val="clear" w:color="auto" w:fill="EEF3F4"/>
          </w:tcPr>
          <w:p>
            <w:r/>
            <w:r>
              <w:rPr>
                <w:sz w:val="20"/>
              </w:rPr>
              <w:t>[r48]</w:t>
            </w:r>
          </w:p>
        </w:tc>
      </w:tr>
      <w:tr>
        <w:tc>
          <w:tcPr>
            <w:tcW w:type="dxa" w:w="2353"/>
          </w:tcPr>
          <w:p>
            <w:r/>
            <w:r>
              <w:rPr>
                <w:sz w:val="20"/>
              </w:rPr>
              <w:t>Ecografía</w:t>
            </w:r>
          </w:p>
        </w:tc>
        <w:tc>
          <w:tcPr>
            <w:tcW w:type="dxa" w:w="2353"/>
          </w:tcPr>
          <w:p>
            <w:r/>
            <w:r>
              <w:rPr>
                <w:sz w:val="20"/>
              </w:rPr>
              <w:t>92 % / 93 %</w:t>
            </w:r>
          </w:p>
        </w:tc>
        <w:tc>
          <w:tcPr>
            <w:tcW w:type="dxa" w:w="2353"/>
          </w:tcPr>
          <w:p>
            <w:r/>
            <w:r>
              <w:rPr>
                <w:sz w:val="20"/>
              </w:rPr>
              <w:t>91 % / 85 %</w:t>
            </w:r>
          </w:p>
        </w:tc>
        <w:tc>
          <w:tcPr>
            <w:tcW w:type="dxa" w:w="2353"/>
          </w:tcPr>
          <w:p>
            <w:r/>
            <w:r>
              <w:rPr>
                <w:sz w:val="20"/>
              </w:rPr>
              <w:t>[r48]</w:t>
            </w:r>
          </w:p>
        </w:tc>
      </w:tr>
    </w:tbl>
    <w:p/>
    <w:p>
      <w:pPr>
        <w:keepNext/>
      </w:pPr>
      <w:r>
        <w:rPr>
          <w:b/>
          <w:color w:val="0F5F6B"/>
          <w:sz w:val="20"/>
        </w:rPr>
        <w:t>Figura 3. Rotura de espesor total del manguito: sensibilidad y especificidad por método</w:t>
      </w:r>
      <w:r>
        <w:rPr>
          <w:color w:val="5A6469"/>
          <w:sz w:val="18"/>
        </w:rPr>
        <w:t xml:space="preserve">  [r48]</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[r13] </w:t>
      </w:r>
      <w:r>
        <w:rPr>
          <w:sz w:val="18"/>
        </w:rPr>
        <w:t xml:space="preserve">Jeon N, Park S, Bae KH, Park KC, Hwang Bo BH, Lim TK. The use of medial support screw was associated with axillary nerve injury after plate fixation of proximal humeral fracture using minimal invasive deltoid-splitting approach. J Orthop Sci. 2023;28(2):432-437. doi:10.1016/j.jos.2021.11.004 </w:t>
      </w:r>
      <w:r>
        <w:rPr>
          <w:i/>
          <w:color w:val="5A6469"/>
          <w:sz w:val="17"/>
        </w:rPr>
        <w:t xml:space="preserve">(cohorte · acceso resumen) </w:t>
      </w:r>
      <w:hyperlink r:id="rId23">
        <w:r>
          <w:rPr>
            <w:color w:val="0563C1"/>
            <w:u w:val="single"/>
            <w:sz w:val="18"/>
          </w:rPr>
          <w:t xml:space="preserve">https://doi.org/10.1016/j.jos.2021.11.004</w:t>
        </w:r>
      </w:hyperlink>
    </w:p>
    <w:p>
      <w:pPr>
        <w:spacing w:after="60"/>
        <w:ind w:left="510" w:hanging="510"/>
      </w:pPr>
      <w:r>
        <w:rPr>
          <w:b/>
          <w:sz w:val="18"/>
        </w:rPr>
        <w:t xml:space="preserve">[r16] </w:t>
      </w:r>
      <w:r>
        <w:rPr>
          <w:sz w:val="18"/>
        </w:rPr>
        <w:t xml:space="preserve">Westphal T, Woischnik S, Adolf D, Feistner H, Piatek S. Axillary nerve lesions after open reduction and internal fixation of proximal humeral fractures through an extended lateral deltoid-split approach: electrophysiological findings. J Shoulder Elbow Surg. 2017;26(3):464-471. doi:10.1016/j.jse.2016.07.027 </w:t>
      </w:r>
      <w:r>
        <w:rPr>
          <w:i/>
          <w:color w:val="5A6469"/>
          <w:sz w:val="17"/>
        </w:rPr>
        <w:t xml:space="preserve">(cohorte · acceso resumen) </w:t>
      </w:r>
      <w:hyperlink r:id="rId25">
        <w:r>
          <w:rPr>
            <w:color w:val="0563C1"/>
            <w:u w:val="single"/>
            <w:sz w:val="18"/>
          </w:rPr>
          <w:t xml:space="preserve">https://doi.org/10.1016/j.jse.2016.07.027</w:t>
        </w:r>
      </w:hyperlink>
    </w:p>
    <w:p>
      <w:pPr>
        <w:spacing w:after="60"/>
        <w:ind w:left="510" w:hanging="510"/>
      </w:pPr>
      <w:r>
        <w:rPr>
          <w:b/>
          <w:sz w:val="18"/>
        </w:rPr>
        <w:t xml:space="preserve">[r46] </w:t>
      </w:r>
      <w:r>
        <w:rPr>
          <w:sz w:val="18"/>
        </w:rPr>
        <w:t xml:space="preserve">Expert Panel on Musculoskeletal Imaging; Laur O, Ha AS, Bartolotta RJ, Avery R, Bateni CP, et al. ACR Appropriateness Criteria® Acute Shoulder Pain: 2024 Update. J Am Coll Radiol. 2025;22(5S):S36-S47. doi:10.1016/j.jacr.2025.02.015 </w:t>
      </w:r>
      <w:r>
        <w:rPr>
          <w:i/>
          <w:color w:val="5A6469"/>
          <w:sz w:val="17"/>
        </w:rPr>
        <w:t xml:space="preserve">(guia · acceso resumen) </w:t>
      </w:r>
      <w:hyperlink r:id="rId48">
        <w:r>
          <w:rPr>
            <w:color w:val="0563C1"/>
            <w:u w:val="single"/>
            <w:sz w:val="18"/>
          </w:rPr>
          <w:t xml:space="preserve">https://doi.org/10.1016/j.jacr.2025.02.015</w:t>
        </w:r>
      </w:hyperlink>
    </w:p>
    <w:p>
      <w:pPr>
        <w:spacing w:after="60"/>
        <w:ind w:left="510" w:hanging="510"/>
      </w:pPr>
      <w:r>
        <w:rPr>
          <w:b/>
          <w:sz w:val="18"/>
        </w:rPr>
        <w:t xml:space="preserve">[r47] </w:t>
      </w:r>
      <w:r>
        <w:rPr>
          <w:sz w:val="18"/>
        </w:rPr>
        <w:t xml:space="preserve">Williams AA, Dey Hazra RO, Dornan G, Abboud JA, Abrams JS, Green A, et al. Consensus statement on the treatment of proximal humerus fractures: a Delphi approach by the Neer Circle of the American Shoulder and Elbow Surgeons. J Shoulder Elbow Surg. 2025;34(8):1977-1988. doi:10.1016/j.jse.2024.12.005 </w:t>
      </w:r>
      <w:r>
        <w:rPr>
          <w:i/>
          <w:color w:val="5A6469"/>
          <w:sz w:val="17"/>
        </w:rPr>
        <w:t xml:space="preserve">(guia · acceso resumen) </w:t>
      </w:r>
      <w:hyperlink r:id="rId49">
        <w:r>
          <w:rPr>
            <w:color w:val="0563C1"/>
            <w:u w:val="single"/>
            <w:sz w:val="18"/>
          </w:rPr>
          <w:t xml:space="preserve">https://doi.org/10.1016/j.jse.2024.12.005</w:t>
        </w:r>
      </w:hyperlink>
    </w:p>
    <w:p>
      <w:pPr>
        <w:spacing w:after="60"/>
        <w:ind w:left="510" w:hanging="510"/>
      </w:pPr>
      <w:r>
        <w:rPr>
          <w:b/>
          <w:sz w:val="18"/>
        </w:rPr>
        <w:t xml:space="preserve">[r48] </w:t>
      </w:r>
      <w:r>
        <w:rPr>
          <w:sz w:val="18"/>
        </w:rPr>
        <w:t xml:space="preserve">Lenza M, Buchbinder R, Takwoingi Y, Johnston RV, Hanchard NC, Faloppa F. Magnetic resonance imaging, magnetic resonance arthrography and ultrasonography for assessing rotator cuff tears in people with shoulder pain for whom surgery is being considered. Cochrane Database Syst Rev. 2013;2013(9):CD009020. doi:10.1002/14651858.CD009020.pub2 </w:t>
      </w:r>
      <w:r>
        <w:rPr>
          <w:i/>
          <w:color w:val="5A6469"/>
          <w:sz w:val="17"/>
        </w:rPr>
        <w:t xml:space="preserve">(RS-MA · acceso resumen) </w:t>
      </w:r>
      <w:hyperlink r:id="rId50">
        <w:r>
          <w:rPr>
            <w:color w:val="0563C1"/>
            <w:u w:val="single"/>
            <w:sz w:val="18"/>
          </w:rPr>
          <w:t xml:space="preserve">https://doi.org/10.1002/14651858.CD009020.pub2</w:t>
        </w:r>
      </w:hyperlink>
    </w:p>
    <w:p>
      <w:pPr>
        <w:pStyle w:val="Heading1"/>
      </w:pPr>
      <w:r>
        <w:t>Indicaciones: cuándo conviene esta vía</w:t>
      </w:r>
    </w:p>
    <w:p>
      <w:pPr>
        <w:pStyle w:val="Heading2"/>
      </w:pPr>
      <w:r>
        <w:t>Qué tiene respaldo y qué es costumbre</w:t>
      </w:r>
    </w:p>
    <w:p>
      <w:r>
        <w:rPr/>
        <w:t>La evidencia por vía de entrada es escasa: casi todo son series y comparaciones pequeñas. Separo lo que dicen las fuentes de lo que es práctica habitual / opinión experta.</w:t>
      </w:r>
    </w:p>
    <w:p>
      <w:pPr>
        <w:pStyle w:val="Heading2"/>
      </w:pPr>
      <w:r>
        <w:t>En fractura del húmero proximal</w:t>
      </w:r>
    </w:p>
    <w:p>
      <w:pPr>
        <w:pStyle w:val="ListBullet"/>
      </w:pPr>
      <w:r>
        <w:rPr/>
        <w:t>Tuberosidad mayor: la AO la presenta como la indicación donde la vía transdeltoidea lateral es especialmente útil [r1].</w:t>
      </w:r>
    </w:p>
    <w:p>
      <w:pPr>
        <w:pStyle w:val="ListBullet"/>
      </w:pPr>
      <w:r>
        <w:rPr/>
        <w:t>Placa por delta split: una serie la ofreció para fracturas AO/OTA 11-A1 a A3, B1 a B2 (y B3) y C1 a C2 (y C3); excluyó cabeza dividida, luxación irreducible cerrada y lesión neurovascular primaria [r27].</w:t>
      </w:r>
    </w:p>
    <w:p>
      <w:pPr>
        <w:pStyle w:val="ListBullet"/>
      </w:pPr>
      <w:r>
        <w:rPr/>
        <w:t>Clavo anterógrado: la AO usa la variante anterolateral con menos piel abierta; como el punto de entrada está bajo la inserción del supraespinoso, hay que abrir el tendón para llegar [r26].</w:t>
      </w:r>
    </w:p>
    <w:p>
      <w:pPr>
        <w:pStyle w:val="ListBullet"/>
      </w:pPr>
      <w:r>
        <w:rPr/>
        <w:t>Cuando rinde menos: con 4 partes una serie halló Constant menor con deltoideo mínimamente invasivo [r14], y la exposición medial limitada complica las fracturas de más de 2 partes [r8]. La AO, por su parte, ve el deltopectoral como válido para casi cualquier fractura y a menudo preferido [r31].</w:t>
      </w:r>
    </w:p>
    <w:p>
      <w:pPr>
        <w:pStyle w:val="ListBullet"/>
      </w:pPr>
      <w:r>
        <w:rPr/>
        <w:t>Cuando rinde más: en 84 pacientes con fracturas de 3 y 4 partes, el cirujano documentó menos dificultad para reducir la tuberosidad mayor con deltoideo (p 0,02) [r25]. Para una tuberosidad retraída hacia atrás o una cabeza dividida posterior, un estudio en cadáver propuso la L invertida [r21].</w:t>
      </w:r>
    </w:p>
    <w:p>
      <w:pPr>
        <w:pStyle w:val="Heading2"/>
      </w:pPr>
      <w:r>
        <w:t>¿Hay que operar?</w:t>
      </w:r>
    </w:p>
    <w:p>
      <w:r>
        <w:rPr/>
        <w:t>En adultos con fractura desplazada, la Cochrane de 2022 halló certeza alta de que operar no mejora la función a 1 año frente a no operar, y certeza baja de más cirugías adicionales [r34]. Un consenso Delphi de la Neer Circle (86 expertos identificados) coincidió en operar al joven sano con fracturas de 3 y 4 partes, con acuerdo de 95 % a 100 % según el escenario [r47]. Dicho de otro modo: la vía lateral es una respuesta a "cómo", no a "si".</w:t>
      </w:r>
    </w:p>
    <w:p>
      <w:pPr>
        <w:pStyle w:val="Heading2"/>
      </w:pPr>
      <w:r>
        <w:t>Otros usos del mismo gesto</w:t>
      </w:r>
    </w:p>
    <w:p>
      <w:pPr>
        <w:pStyle w:val="ListBullet"/>
      </w:pPr>
      <w:r>
        <w:rPr/>
        <w:t>Manguito mini-open: la reparación por separación del deltoides se comparó con la abierta convencional en 35 y 43 pacientes [r22].</w:t>
      </w:r>
    </w:p>
    <w:p>
      <w:pPr>
        <w:pStyle w:val="ListBullet"/>
      </w:pPr>
      <w:r>
        <w:rPr/>
        <w:t>Artroplastia inversa: el abordaje anterosuperior divide el deltoides anterior desde el borde del arco acromioclavicular. En una revisión de 527 prótesis inversas, la inestabilidad fue 0,8 % con el anterosuperior y 5,1 % con el deltopectoral, y sus puntos débiles son la parálisis del axilar y la debilidad del deltoides [r30].</w:t>
      </w:r>
    </w:p>
    <w:p>
      <w:pPr>
        <w:pStyle w:val="ListBullet"/>
      </w:pPr>
      <w:r>
        <w:rPr/>
        <w:t>Hemiartroplastia por vía lateral: sin dato verificable. No encontré una fuente abierta que describa la hemiartroplastia por deltoideo lateral; para casi cualquier fractura la AO sugiere el deltopectoral [r31].</w:t>
      </w:r>
    </w:p>
    <w:p>
      <w:pPr>
        <w:keepNext/>
      </w:pPr>
      <w:r>
        <w:rPr>
          <w:b/>
          <w:color w:val="0F5F6B"/>
          <w:sz w:val="20"/>
        </w:rPr>
        <w:t>Tabla 5. Resumen de indicaciones y su respaldo</w:t>
      </w:r>
      <w:r>
        <w:rPr>
          <w:color w:val="5A6469"/>
          <w:sz w:val="18"/>
        </w:rPr>
        <w:t xml:space="preserve">  [r26] [r31] [r1] [r25] [r14] [r22] [r30]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Situación</w:t>
            </w:r>
          </w:p>
        </w:tc>
        <w:tc>
          <w:tcPr>
            <w:tcW w:type="dxa" w:w="2353"/>
            <w:shd w:val="clear" w:color="auto" w:fill="0F5F6B"/>
          </w:tcPr>
          <w:p>
            <w:r/>
            <w:r>
              <w:rPr>
                <w:b/>
                <w:color w:val="FFFFFF"/>
                <w:sz w:val="20"/>
              </w:rPr>
              <w:t>Qué dicen las fuentes</w:t>
            </w:r>
          </w:p>
        </w:tc>
        <w:tc>
          <w:tcPr>
            <w:tcW w:type="dxa" w:w="2353"/>
            <w:shd w:val="clear" w:color="auto" w:fill="0F5F6B"/>
          </w:tcPr>
          <w:p>
            <w:r/>
            <w:r>
              <w:rPr>
                <w:b/>
                <w:color w:val="FFFFFF"/>
                <w:sz w:val="20"/>
              </w:rPr>
              <w:t>Tipo de estudio</w:t>
            </w:r>
          </w:p>
        </w:tc>
        <w:tc>
          <w:tcPr>
            <w:tcW w:type="dxa" w:w="2353"/>
            <w:shd w:val="clear" w:color="auto" w:fill="0F5F6B"/>
          </w:tcPr>
          <w:p>
            <w:r/>
            <w:r>
              <w:rPr>
                <w:b/>
                <w:color w:val="FFFFFF"/>
                <w:sz w:val="20"/>
              </w:rPr>
              <w:t>Fuente</w:t>
            </w:r>
          </w:p>
        </w:tc>
      </w:tr>
      <w:tr>
        <w:tc>
          <w:tcPr>
            <w:tcW w:type="dxa" w:w="2353"/>
          </w:tcPr>
          <w:p>
            <w:r/>
            <w:r>
              <w:rPr>
                <w:sz w:val="20"/>
              </w:rPr>
              <w:t>Fractura de tuberosidad mayor</w:t>
            </w:r>
          </w:p>
        </w:tc>
        <w:tc>
          <w:tcPr>
            <w:tcW w:type="dxa" w:w="2353"/>
          </w:tcPr>
          <w:p>
            <w:r/>
            <w:r>
              <w:rPr>
                <w:sz w:val="20"/>
              </w:rPr>
              <w:t>Vía especialmente útil</w:t>
            </w:r>
          </w:p>
        </w:tc>
        <w:tc>
          <w:tcPr>
            <w:tcW w:type="dxa" w:w="2353"/>
          </w:tcPr>
          <w:p>
            <w:r/>
            <w:r>
              <w:rPr>
                <w:sz w:val="20"/>
              </w:rPr>
              <w:t>Guía/web oficial</w:t>
            </w:r>
          </w:p>
        </w:tc>
        <w:tc>
          <w:tcPr>
            <w:tcW w:type="dxa" w:w="2353"/>
          </w:tcPr>
          <w:p>
            <w:r/>
            <w:r>
              <w:rPr>
                <w:sz w:val="20"/>
              </w:rPr>
              <w:t>[r1]</w:t>
            </w:r>
          </w:p>
        </w:tc>
      </w:tr>
      <w:tr>
        <w:tc>
          <w:tcPr>
            <w:tcW w:type="dxa" w:w="2353"/>
            <w:shd w:val="clear" w:color="auto" w:fill="EEF3F4"/>
          </w:tcPr>
          <w:p>
            <w:r/>
            <w:r>
              <w:rPr>
                <w:sz w:val="20"/>
              </w:rPr>
              <w:t>MIPO con placa</w:t>
            </w:r>
          </w:p>
        </w:tc>
        <w:tc>
          <w:tcPr>
            <w:tcW w:type="dxa" w:w="2353"/>
            <w:shd w:val="clear" w:color="auto" w:fill="EEF3F4"/>
          </w:tcPr>
          <w:p>
            <w:r/>
            <w:r>
              <w:rPr>
                <w:sz w:val="20"/>
              </w:rPr>
              <w:t>Recomendada la variante anterolateral</w:t>
            </w:r>
          </w:p>
        </w:tc>
        <w:tc>
          <w:tcPr>
            <w:tcW w:type="dxa" w:w="2353"/>
            <w:shd w:val="clear" w:color="auto" w:fill="EEF3F4"/>
          </w:tcPr>
          <w:p>
            <w:r/>
            <w:r>
              <w:rPr>
                <w:sz w:val="20"/>
              </w:rPr>
              <w:t>Guía/web oficial</w:t>
            </w:r>
          </w:p>
        </w:tc>
        <w:tc>
          <w:tcPr>
            <w:tcW w:type="dxa" w:w="2353"/>
            <w:shd w:val="clear" w:color="auto" w:fill="EEF3F4"/>
          </w:tcPr>
          <w:p>
            <w:r/>
            <w:r>
              <w:rPr>
                <w:sz w:val="20"/>
              </w:rPr>
              <w:t>[r26]</w:t>
            </w:r>
          </w:p>
        </w:tc>
      </w:tr>
      <w:tr>
        <w:tc>
          <w:tcPr>
            <w:tcW w:type="dxa" w:w="2353"/>
          </w:tcPr>
          <w:p>
            <w:r/>
            <w:r>
              <w:rPr>
                <w:sz w:val="20"/>
              </w:rPr>
              <w:t>Clavo anterógrado</w:t>
            </w:r>
          </w:p>
        </w:tc>
        <w:tc>
          <w:tcPr>
            <w:tcW w:type="dxa" w:w="2353"/>
          </w:tcPr>
          <w:p>
            <w:r/>
            <w:r>
              <w:rPr>
                <w:sz w:val="20"/>
              </w:rPr>
              <w:t>Variante anterolateral con incisión más corta</w:t>
            </w:r>
          </w:p>
        </w:tc>
        <w:tc>
          <w:tcPr>
            <w:tcW w:type="dxa" w:w="2353"/>
          </w:tcPr>
          <w:p>
            <w:r/>
            <w:r>
              <w:rPr>
                <w:sz w:val="20"/>
              </w:rPr>
              <w:t>Guía/web oficial</w:t>
            </w:r>
          </w:p>
        </w:tc>
        <w:tc>
          <w:tcPr>
            <w:tcW w:type="dxa" w:w="2353"/>
          </w:tcPr>
          <w:p>
            <w:r/>
            <w:r>
              <w:rPr>
                <w:sz w:val="20"/>
              </w:rPr>
              <w:t>[r26]</w:t>
            </w:r>
          </w:p>
        </w:tc>
      </w:tr>
      <w:tr>
        <w:tc>
          <w:tcPr>
            <w:tcW w:type="dxa" w:w="2353"/>
            <w:shd w:val="clear" w:color="auto" w:fill="EEF3F4"/>
          </w:tcPr>
          <w:p>
            <w:r/>
            <w:r>
              <w:rPr>
                <w:sz w:val="20"/>
              </w:rPr>
              <w:t>Fractura de 4 partes</w:t>
            </w:r>
          </w:p>
        </w:tc>
        <w:tc>
          <w:tcPr>
            <w:tcW w:type="dxa" w:w="2353"/>
            <w:shd w:val="clear" w:color="auto" w:fill="EEF3F4"/>
          </w:tcPr>
          <w:p>
            <w:r/>
            <w:r>
              <w:rPr>
                <w:sz w:val="20"/>
              </w:rPr>
              <w:t>Constant menor con deltoideo mínimamente invasivo</w:t>
            </w:r>
          </w:p>
        </w:tc>
        <w:tc>
          <w:tcPr>
            <w:tcW w:type="dxa" w:w="2353"/>
            <w:shd w:val="clear" w:color="auto" w:fill="EEF3F4"/>
          </w:tcPr>
          <w:p>
            <w:r/>
            <w:r>
              <w:rPr>
                <w:sz w:val="20"/>
              </w:rPr>
              <w:t>Cohorte (62 pacientes)</w:t>
            </w:r>
          </w:p>
        </w:tc>
        <w:tc>
          <w:tcPr>
            <w:tcW w:type="dxa" w:w="2353"/>
            <w:shd w:val="clear" w:color="auto" w:fill="EEF3F4"/>
          </w:tcPr>
          <w:p>
            <w:r/>
            <w:r>
              <w:rPr>
                <w:sz w:val="20"/>
              </w:rPr>
              <w:t>[r14]</w:t>
            </w:r>
          </w:p>
        </w:tc>
      </w:tr>
      <w:tr>
        <w:tc>
          <w:tcPr>
            <w:tcW w:type="dxa" w:w="2353"/>
          </w:tcPr>
          <w:p>
            <w:r/>
            <w:r>
              <w:rPr>
                <w:sz w:val="20"/>
              </w:rPr>
              <w:t>Fractura de 3 y 4 partes con tuberosidad</w:t>
            </w:r>
          </w:p>
        </w:tc>
        <w:tc>
          <w:tcPr>
            <w:tcW w:type="dxa" w:w="2353"/>
          </w:tcPr>
          <w:p>
            <w:r/>
            <w:r>
              <w:rPr>
                <w:sz w:val="20"/>
              </w:rPr>
              <w:t>Menos dificultad para reducir la tuberosidad mayor</w:t>
            </w:r>
          </w:p>
        </w:tc>
        <w:tc>
          <w:tcPr>
            <w:tcW w:type="dxa" w:w="2353"/>
          </w:tcPr>
          <w:p>
            <w:r/>
            <w:r>
              <w:rPr>
                <w:sz w:val="20"/>
              </w:rPr>
              <w:t>Cohorte (84 pacientes)</w:t>
            </w:r>
          </w:p>
        </w:tc>
        <w:tc>
          <w:tcPr>
            <w:tcW w:type="dxa" w:w="2353"/>
          </w:tcPr>
          <w:p>
            <w:r/>
            <w:r>
              <w:rPr>
                <w:sz w:val="20"/>
              </w:rPr>
              <w:t>[r25]</w:t>
            </w:r>
          </w:p>
        </w:tc>
      </w:tr>
      <w:tr>
        <w:tc>
          <w:tcPr>
            <w:tcW w:type="dxa" w:w="2353"/>
            <w:shd w:val="clear" w:color="auto" w:fill="EEF3F4"/>
          </w:tcPr>
          <w:p>
            <w:r/>
            <w:r>
              <w:rPr>
                <w:sz w:val="20"/>
              </w:rPr>
              <w:t>Manguito</w:t>
            </w:r>
          </w:p>
        </w:tc>
        <w:tc>
          <w:tcPr>
            <w:tcW w:type="dxa" w:w="2353"/>
            <w:shd w:val="clear" w:color="auto" w:fill="EEF3F4"/>
          </w:tcPr>
          <w:p>
            <w:r/>
            <w:r>
              <w:rPr>
                <w:sz w:val="20"/>
              </w:rPr>
              <w:t>Mini-open por separación del deltoides (35 pacientes)</w:t>
            </w:r>
          </w:p>
        </w:tc>
        <w:tc>
          <w:tcPr>
            <w:tcW w:type="dxa" w:w="2353"/>
            <w:shd w:val="clear" w:color="auto" w:fill="EEF3F4"/>
          </w:tcPr>
          <w:p>
            <w:r/>
            <w:r>
              <w:rPr>
                <w:sz w:val="20"/>
              </w:rPr>
              <w:t>Cohorte</w:t>
            </w:r>
          </w:p>
        </w:tc>
        <w:tc>
          <w:tcPr>
            <w:tcW w:type="dxa" w:w="2353"/>
            <w:shd w:val="clear" w:color="auto" w:fill="EEF3F4"/>
          </w:tcPr>
          <w:p>
            <w:r/>
            <w:r>
              <w:rPr>
                <w:sz w:val="20"/>
              </w:rPr>
              <w:t>[r22]</w:t>
            </w:r>
          </w:p>
        </w:tc>
      </w:tr>
      <w:tr>
        <w:tc>
          <w:tcPr>
            <w:tcW w:type="dxa" w:w="2353"/>
          </w:tcPr>
          <w:p>
            <w:r/>
            <w:r>
              <w:rPr>
                <w:sz w:val="20"/>
              </w:rPr>
              <w:t>Artroplastia inversa</w:t>
            </w:r>
          </w:p>
        </w:tc>
        <w:tc>
          <w:tcPr>
            <w:tcW w:type="dxa" w:w="2353"/>
          </w:tcPr>
          <w:p>
            <w:r/>
            <w:r>
              <w:rPr>
                <w:sz w:val="20"/>
              </w:rPr>
              <w:t>Anterosuperior: inestabilidad 0,8 % frente a 5,1 % con deltopectoral; riesgo de parálisis del axilar</w:t>
            </w:r>
          </w:p>
        </w:tc>
        <w:tc>
          <w:tcPr>
            <w:tcW w:type="dxa" w:w="2353"/>
          </w:tcPr>
          <w:p>
            <w:r/>
            <w:r>
              <w:rPr>
                <w:sz w:val="20"/>
              </w:rPr>
              <w:t>Revisión (527 prótesis)</w:t>
            </w:r>
          </w:p>
        </w:tc>
        <w:tc>
          <w:tcPr>
            <w:tcW w:type="dxa" w:w="2353"/>
          </w:tcPr>
          <w:p>
            <w:r/>
            <w:r>
              <w:rPr>
                <w:sz w:val="20"/>
              </w:rPr>
              <w:t>[r30]</w:t>
            </w:r>
          </w:p>
        </w:tc>
      </w:tr>
      <w:tr>
        <w:tc>
          <w:tcPr>
            <w:tcW w:type="dxa" w:w="2353"/>
            <w:shd w:val="clear" w:color="auto" w:fill="EEF3F4"/>
          </w:tcPr>
          <w:p>
            <w:r/>
            <w:r>
              <w:rPr>
                <w:sz w:val="20"/>
              </w:rPr>
              <w:t>Hemiartroplastia</w:t>
            </w:r>
          </w:p>
        </w:tc>
        <w:tc>
          <w:tcPr>
            <w:tcW w:type="dxa" w:w="2353"/>
            <w:shd w:val="clear" w:color="auto" w:fill="EEF3F4"/>
          </w:tcPr>
          <w:p>
            <w:r/>
            <w:r>
              <w:rPr>
                <w:sz w:val="20"/>
              </w:rPr>
              <w:t>sin dato verificable</w:t>
            </w:r>
          </w:p>
        </w:tc>
        <w:tc>
          <w:tcPr>
            <w:tcW w:type="dxa" w:w="2353"/>
            <w:shd w:val="clear" w:color="auto" w:fill="EEF3F4"/>
          </w:tcPr>
          <w:p>
            <w:r/>
            <w:r>
              <w:rPr>
                <w:sz w:val="20"/>
              </w:rPr>
              <w:t>—</w:t>
            </w:r>
          </w:p>
        </w:tc>
        <w:tc>
          <w:tcPr>
            <w:tcW w:type="dxa" w:w="2353"/>
            <w:shd w:val="clear" w:color="auto" w:fill="EEF3F4"/>
          </w:tcPr>
          <w:p>
            <w:r/>
            <w:r>
              <w:rPr>
                <w:sz w:val="20"/>
              </w:rPr>
              <w:t>[r31]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Transdeltoid lateral approach to the proximal humerus [Internet]. En: AO Surgery Reference. Davos: AO Foundation [consultado 2026 oct 12]. Disponible en: https://surgeryreference.aofoundation.org/orthopedic-trauma/adult-trauma/proximal-humerus/approach/transdeltoid-lateral-approach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https://surgeryreference.aofoundation.org/orthopedic-trauma/adult-trauma/proximal-humerus/approach/transdeltoid-lateral-approach</w:t>
        </w:r>
      </w:hyperlink>
    </w:p>
    <w:p>
      <w:pPr>
        <w:spacing w:after="60"/>
        <w:ind w:left="510" w:hanging="510"/>
      </w:pPr>
      <w:r>
        <w:rPr>
          <w:b/>
          <w:sz w:val="18"/>
        </w:rPr>
        <w:t xml:space="preserve">[r8] </w:t>
      </w:r>
      <w:r>
        <w:rPr>
          <w:sz w:val="18"/>
        </w:rPr>
        <w:t xml:space="preserve">Oldrini LM, Sangiorgio A, Feltri P, Marbach F, Filardo G, Candrian C. Proximal humerus fractures: deltopectoral open reduction and internal fixation vs deltosplit minimally invasive plate osteosynthesis: which surgical approach provides superior results? EFORT Open Rev. 2023;8(8):662-671. doi:10.1530/EOR-22-0110 </w:t>
      </w:r>
      <w:r>
        <w:rPr>
          <w:i/>
          <w:color w:val="5A6469"/>
          <w:sz w:val="17"/>
        </w:rPr>
        <w:t xml:space="preserve">(RS-MA · acceso abierto) </w:t>
      </w:r>
      <w:hyperlink r:id="rId12">
        <w:r>
          <w:rPr>
            <w:color w:val="0563C1"/>
            <w:u w:val="single"/>
            <w:sz w:val="18"/>
          </w:rPr>
          <w:t xml:space="preserve">https://doi.org/10.1530/EOR-22-0110</w:t>
        </w:r>
      </w:hyperlink>
    </w:p>
    <w:p>
      <w:pPr>
        <w:spacing w:after="60"/>
        <w:ind w:left="510" w:hanging="510"/>
      </w:pPr>
      <w:r>
        <w:rPr>
          <w:b/>
          <w:sz w:val="18"/>
        </w:rPr>
        <w:t xml:space="preserve">[r14] </w:t>
      </w:r>
      <w:r>
        <w:rPr>
          <w:sz w:val="18"/>
        </w:rPr>
        <w:t xml:space="preserve">Borer J, Schwarz J, Potthast S, Jakob M, Lenzlinger P, Zingg U, et al. Mid-term results of minimally invasive deltoid-split versus standard open deltopectoral approach for PHILOS™ (proximal humeral internal locking system) osteosynthesis in proximal humeral fractures. Eur J Trauma Emerg Surg. 2020;46(4):825-834. doi:10.1007/s00068-019-01076-7 </w:t>
      </w:r>
      <w:r>
        <w:rPr>
          <w:i/>
          <w:color w:val="5A6469"/>
          <w:sz w:val="17"/>
        </w:rPr>
        <w:t xml:space="preserve">(cohorte · acceso resumen) </w:t>
      </w:r>
      <w:hyperlink r:id="rId51">
        <w:r>
          <w:rPr>
            <w:color w:val="0563C1"/>
            <w:u w:val="single"/>
            <w:sz w:val="18"/>
          </w:rPr>
          <w:t xml:space="preserve">https://doi.org/10.1007/s00068-019-01076-7</w:t>
        </w:r>
      </w:hyperlink>
    </w:p>
    <w:p>
      <w:pPr>
        <w:spacing w:after="60"/>
        <w:ind w:left="510" w:hanging="510"/>
      </w:pPr>
      <w:r>
        <w:rPr>
          <w:b/>
          <w:sz w:val="18"/>
        </w:rPr>
        <w:t xml:space="preserve">[r21] </w:t>
      </w:r>
      <w:r>
        <w:rPr>
          <w:sz w:val="18"/>
        </w:rPr>
        <w:t xml:space="preserve">Sirisreetreerux N, Pengrung N, Apivatthakakul T. Proximal humerus exposure with the inverted-L anterolateral deltoid flip approach, anterolateral deltoid splitting approach, and deltopectoral approach: A comparative cadaveric study. Injury. 2021;52(4):738-746. doi:10.1016/j.injury.2020.11.022 </w:t>
      </w:r>
      <w:r>
        <w:rPr>
          <w:i/>
          <w:color w:val="5A6469"/>
          <w:sz w:val="17"/>
        </w:rPr>
        <w:t xml:space="preserve">(serie · acceso resumen) </w:t>
      </w:r>
      <w:hyperlink r:id="rId13">
        <w:r>
          <w:rPr>
            <w:color w:val="0563C1"/>
            <w:u w:val="single"/>
            <w:sz w:val="18"/>
          </w:rPr>
          <w:t xml:space="preserve">https://doi.org/10.1016/j.injury.2020.11.022</w:t>
        </w:r>
      </w:hyperlink>
    </w:p>
    <w:p>
      <w:pPr>
        <w:spacing w:after="60"/>
        <w:ind w:left="510" w:hanging="510"/>
      </w:pPr>
      <w:r>
        <w:rPr>
          <w:b/>
          <w:sz w:val="18"/>
        </w:rPr>
        <w:t xml:space="preserve">[r22] </w:t>
      </w:r>
      <w:r>
        <w:rPr>
          <w:sz w:val="18"/>
        </w:rPr>
        <w:t xml:space="preserve">Hata Y, Saitoh S, Murakami N, Kobayashi H, Takaoka K. Atrophy of the deltoid muscle following rotator cuff surgery. J Bone Joint Surg Am. 2004;86(7):1414-9. doi:10.2106/00004623-200407000-00008 </w:t>
      </w:r>
      <w:r>
        <w:rPr>
          <w:i/>
          <w:color w:val="5A6469"/>
          <w:sz w:val="17"/>
        </w:rPr>
        <w:t xml:space="preserve">(cohorte · acceso resumen) </w:t>
      </w:r>
      <w:hyperlink r:id="rId14">
        <w:r>
          <w:rPr>
            <w:color w:val="0563C1"/>
            <w:u w:val="single"/>
            <w:sz w:val="18"/>
          </w:rPr>
          <w:t xml:space="preserve">https://doi.org/10.2106/00004623-200407000-00008</w:t>
        </w:r>
      </w:hyperlink>
    </w:p>
    <w:p>
      <w:pPr>
        <w:spacing w:after="60"/>
        <w:ind w:left="510" w:hanging="510"/>
      </w:pPr>
      <w:r>
        <w:rPr>
          <w:b/>
          <w:sz w:val="18"/>
        </w:rPr>
        <w:t xml:space="preserve">[r25] </w:t>
      </w:r>
      <w:r>
        <w:rPr>
          <w:sz w:val="18"/>
        </w:rPr>
        <w:t xml:space="preserve">Bhayana H, Chouhan DK, Aggarwal S, Prakash M, Patel S, Arora C, et al. Outcomes of plate osteosynthesis for displaced 3-part and 4-part proximal humerus fractures with deltopectoral vs. deltoid split approach. Eur J Trauma Emerg Surg. 2022;48(6):4559-4567. doi:10.1007/s00068-021-01761-6 </w:t>
      </w:r>
      <w:r>
        <w:rPr>
          <w:i/>
          <w:color w:val="5A6469"/>
          <w:sz w:val="17"/>
        </w:rPr>
        <w:t xml:space="preserve">(cohorte · acceso resumen) </w:t>
      </w:r>
      <w:hyperlink r:id="rId52">
        <w:r>
          <w:rPr>
            <w:color w:val="0563C1"/>
            <w:u w:val="single"/>
            <w:sz w:val="18"/>
          </w:rPr>
          <w:t xml:space="preserve">https://doi.org/10.1007/s00068-021-01761-6</w:t>
        </w:r>
      </w:hyperlink>
    </w:p>
    <w:p>
      <w:pPr>
        <w:spacing w:after="60"/>
        <w:ind w:left="510" w:hanging="510"/>
      </w:pPr>
      <w:r>
        <w:rPr>
          <w:b/>
          <w:sz w:val="18"/>
        </w:rPr>
        <w:t xml:space="preserve">[r26] </w:t>
      </w:r>
      <w:r>
        <w:rPr>
          <w:sz w:val="18"/>
        </w:rPr>
        <w:t xml:space="preserve">Jaeger M, Leung F, Li W. Anterolateral approach to the proximal humerus [Internet]. En: AO Surgery Reference. Davos: AO Foundation [consultado 2026 oct 12]. Disponible en: https://surgeryreference.aofoundation.org/orthopedic-trauma/adult-trauma/proximal-humerus/approach/anterolateral-approach </w:t>
      </w:r>
      <w:r>
        <w:rPr>
          <w:i/>
          <w:color w:val="5A6469"/>
          <w:sz w:val="17"/>
        </w:rPr>
        <w:t xml:space="preserve">(web-oficial · acceso abierto) </w:t>
      </w:r>
      <w:hyperlink r:id="rId15">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[r27] </w:t>
      </w:r>
      <w:r>
        <w:rPr>
          <w:sz w:val="18"/>
        </w:rPr>
        <w:t xml:space="preserve">Acklin YP, Sommer C. Plate fixation of proximal humerus fractures using the minimally invasive anterolateral delta split approach. Oper Orthop Traumatol. 2012;24(1):61-73. doi:10.1007/s00064-011-0051-9 </w:t>
      </w:r>
      <w:r>
        <w:rPr>
          <w:i/>
          <w:color w:val="5A6469"/>
          <w:sz w:val="17"/>
        </w:rPr>
        <w:t xml:space="preserve">(serie · acceso resumen) </w:t>
      </w:r>
      <w:hyperlink r:id="rId16">
        <w:r>
          <w:rPr>
            <w:color w:val="0563C1"/>
            <w:u w:val="single"/>
            <w:sz w:val="18"/>
          </w:rPr>
          <w:t xml:space="preserve">https://doi.org/10.1007/s00064-011-0051-9</w:t>
        </w:r>
      </w:hyperlink>
    </w:p>
    <w:p>
      <w:pPr>
        <w:spacing w:after="60"/>
        <w:ind w:left="510" w:hanging="510"/>
      </w:pPr>
      <w:r>
        <w:rPr>
          <w:b/>
          <w:sz w:val="18"/>
        </w:rPr>
        <w:t xml:space="preserve">[r30] </w:t>
      </w:r>
      <w:r>
        <w:rPr>
          <w:sz w:val="18"/>
        </w:rPr>
        <w:t xml:space="preserve">Molé D, Wein F, Dézaly C, Valenti P, Sirveaux F. Surgical technique: the anterosuperior approach for reverse shoulder arthroplasty. Clin Orthop Relat Res. 2011;469(9):2461-8. doi:10.1007/s11999-011-1861-7 </w:t>
      </w:r>
      <w:r>
        <w:rPr>
          <w:i/>
          <w:color w:val="5A6469"/>
          <w:sz w:val="17"/>
        </w:rPr>
        <w:t xml:space="preserve">(revision · acceso resumen) </w:t>
      </w:r>
      <w:hyperlink r:id="rId19">
        <w:r>
          <w:rPr>
            <w:color w:val="0563C1"/>
            <w:u w:val="single"/>
            <w:sz w:val="18"/>
          </w:rPr>
          <w:t xml:space="preserve">https://doi.org/10.1007/s11999-011-1861-7</w:t>
        </w:r>
      </w:hyperlink>
    </w:p>
    <w:p>
      <w:pPr>
        <w:spacing w:after="60"/>
        <w:ind w:left="510" w:hanging="510"/>
      </w:pPr>
      <w:r>
        <w:rPr>
          <w:b/>
          <w:sz w:val="18"/>
        </w:rPr>
        <w:t xml:space="preserve">[r31] </w:t>
      </w:r>
      <w:r>
        <w:rPr>
          <w:sz w:val="18"/>
        </w:rPr>
        <w:t xml:space="preserve">Jaeger M, Leung F, Li W. Deltopectoral approach to the proximal humerus [Internet]. En: AO Surgery Reference. Davos: AO Foundation [consultado 2026 oct 12]. Disponible en: https://surgeryreference.aofoundation.org/orthopedic-trauma/adult-trauma/proximal-humerus/approach/deltopectoral-approach-to-the-proximal-humerus </w:t>
      </w:r>
      <w:r>
        <w:rPr>
          <w:i/>
          <w:color w:val="5A6469"/>
          <w:sz w:val="17"/>
        </w:rPr>
        <w:t xml:space="preserve">(web-oficial · acceso abierto) </w:t>
      </w:r>
      <w:hyperlink r:id="rId20">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[r34]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resumen) </w:t>
      </w:r>
      <w:hyperlink r:id="rId27">
        <w:r>
          <w:rPr>
            <w:color w:val="0563C1"/>
            <w:u w:val="single"/>
            <w:sz w:val="18"/>
          </w:rPr>
          <w:t xml:space="preserve">https://doi.org/10.1002/14651858.CD000434.pub5</w:t>
        </w:r>
      </w:hyperlink>
    </w:p>
    <w:p>
      <w:pPr>
        <w:spacing w:after="60"/>
        <w:ind w:left="510" w:hanging="510"/>
      </w:pPr>
      <w:r>
        <w:rPr>
          <w:b/>
          <w:sz w:val="18"/>
        </w:rPr>
        <w:t xml:space="preserve">[r47] </w:t>
      </w:r>
      <w:r>
        <w:rPr>
          <w:sz w:val="18"/>
        </w:rPr>
        <w:t xml:space="preserve">Williams AA, Dey Hazra RO, Dornan G, Abboud JA, Abrams JS, Green A, et al. Consensus statement on the treatment of proximal humerus fractures: a Delphi approach by the Neer Circle of the American Shoulder and Elbow Surgeons. J Shoulder Elbow Surg. 2025;34(8):1977-1988. doi:10.1016/j.jse.2024.12.005 </w:t>
      </w:r>
      <w:r>
        <w:rPr>
          <w:i/>
          <w:color w:val="5A6469"/>
          <w:sz w:val="17"/>
        </w:rPr>
        <w:t xml:space="preserve">(guia · acceso resumen) </w:t>
      </w:r>
      <w:hyperlink r:id="rId49">
        <w:r>
          <w:rPr>
            <w:color w:val="0563C1"/>
            <w:u w:val="single"/>
            <w:sz w:val="18"/>
          </w:rPr>
          <w:t xml:space="preserve">https://doi.org/10.1016/j.jse.2024.12.005</w:t>
        </w:r>
      </w:hyperlink>
    </w:p>
    <w:p>
      <w:pPr>
        <w:pStyle w:val="Heading1"/>
      </w:pPr>
      <w:r>
        <w:t>Algoritmo de decisión</w:t>
      </w:r>
    </w:p>
    <w:p>
      <w:pPr>
        <w:pStyle w:val="Heading2"/>
      </w:pPr>
      <w:r>
        <w:t>Cómo leerlo</w:t>
      </w:r>
    </w:p>
    <w:p>
      <w:r>
        <w:rPr/>
        <w:t>Es un apoyo de estudio, no un protocolo. Cada caja con cifra lleva su fuente; las que no la llevan son práctica habitual / opinión experta.</w:t>
      </w:r>
    </w:p>
    <w:p>
      <w:pPr>
        <w:keepNext/>
      </w:pPr>
      <w:r>
        <w:rPr>
          <w:b/>
          <w:color w:val="0F5F6B"/>
          <w:sz w:val="20"/>
        </w:rPr>
        <w:t>Algoritmo. ¿Entro por el lado lateral? Decisión y primeros pasos</w:t>
      </w:r>
      <w:r>
        <w:rPr>
          <w:color w:val="5A6469"/>
          <w:sz w:val="18"/>
        </w:rPr>
        <w:t xml:space="preserve">  [r34] [r15] [r16] [r31] [r1] [r10]</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Paciente con fractura del húmero proximal que podría fijarse por vía lateral</w:t>
            </w:r>
          </w:p>
        </w:tc>
        <w:tc>
          <w:tcPr>
            <w:tcW w:type="dxa" w:w="4195"/>
          </w:tcPr>
          <w:p>
            <w:r/>
            <w:r>
              <w:rPr>
                <w:sz w:val="20"/>
              </w:rPr>
              <w:t>continuar → ¿Está indicada la cirugía? En el adulto con fractura desplazada, operar no mejoró la función a 1 año frente a no operar [r34]</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¿Está indicada la cirugía? En el adulto con fractura desplazada, operar no mejoró la función a 1 año frente a no operar [r34]</w:t>
            </w:r>
          </w:p>
        </w:tc>
        <w:tc>
          <w:tcPr>
            <w:tcW w:type="dxa" w:w="4195"/>
            <w:shd w:val="clear" w:color="auto" w:fill="EEF3F4"/>
          </w:tcPr>
          <w:p>
            <w:r/>
            <w:r>
              <w:rPr>
                <w:sz w:val="20"/>
              </w:rPr>
              <w:t>no → Manejo conservador con seguimiento; sí → Examina y registra el axilar antes de operar; la clínica detecta mal y el EMG ayuda [r15][r16]</w:t>
            </w:r>
          </w:p>
        </w:tc>
      </w:tr>
      <w:tr>
        <w:tc>
          <w:tcPr>
            <w:tcW w:type="dxa" w:w="510"/>
          </w:tcPr>
          <w:p>
            <w:r/>
            <w:r>
              <w:rPr>
                <w:sz w:val="20"/>
              </w:rPr>
              <w:t>3</w:t>
            </w:r>
          </w:p>
        </w:tc>
        <w:tc>
          <w:tcPr>
            <w:tcW w:type="dxa" w:w="1134"/>
          </w:tcPr>
          <w:p>
            <w:r/>
            <w:r>
              <w:rPr>
                <w:sz w:val="20"/>
              </w:rPr>
              <w:t>Fin</w:t>
            </w:r>
          </w:p>
        </w:tc>
        <w:tc>
          <w:tcPr>
            <w:tcW w:type="dxa" w:w="3572"/>
          </w:tcPr>
          <w:p>
            <w:r/>
            <w:r>
              <w:rPr>
                <w:sz w:val="20"/>
              </w:rPr>
              <w:t>Manejo conservador con seguimiento</w:t>
            </w:r>
          </w:p>
        </w:tc>
        <w:tc>
          <w:tcPr>
            <w:tcW w:type="dxa" w:w="4195"/>
          </w:tcPr>
          <w:p>
            <w:r/>
            <w:r>
              <w:rPr>
                <w:sz w:val="20"/>
              </w:rPr>
              <w:t>—</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Examina y registra el axilar antes de operar; la clínica detecta mal y el EMG ayuda [r15][r16]</w:t>
            </w:r>
          </w:p>
        </w:tc>
        <w:tc>
          <w:tcPr>
            <w:tcW w:type="dxa" w:w="4195"/>
            <w:shd w:val="clear" w:color="auto" w:fill="EEF3F4"/>
          </w:tcPr>
          <w:p>
            <w:r/>
            <w:r>
              <w:rPr>
                <w:sz w:val="20"/>
              </w:rPr>
              <w:t>continuar → ¿Tuberosidad mayor aislada, patrón reductible de pocas partes, o clavo anterógrado?</w:t>
            </w:r>
          </w:p>
        </w:tc>
      </w:tr>
      <w:tr>
        <w:tc>
          <w:tcPr>
            <w:tcW w:type="dxa" w:w="510"/>
          </w:tcPr>
          <w:p>
            <w:r/>
            <w:r>
              <w:rPr>
                <w:sz w:val="20"/>
              </w:rPr>
              <w:t>5</w:t>
            </w:r>
          </w:p>
        </w:tc>
        <w:tc>
          <w:tcPr>
            <w:tcW w:type="dxa" w:w="1134"/>
          </w:tcPr>
          <w:p>
            <w:r/>
            <w:r>
              <w:rPr>
                <w:sz w:val="20"/>
              </w:rPr>
              <w:t>Decisión</w:t>
            </w:r>
          </w:p>
        </w:tc>
        <w:tc>
          <w:tcPr>
            <w:tcW w:type="dxa" w:w="3572"/>
          </w:tcPr>
          <w:p>
            <w:r/>
            <w:r>
              <w:rPr>
                <w:sz w:val="20"/>
              </w:rPr>
              <w:t>¿Tuberosidad mayor aislada, patrón reductible de pocas partes, o clavo anterógrado?</w:t>
            </w:r>
          </w:p>
        </w:tc>
        <w:tc>
          <w:tcPr>
            <w:tcW w:type="dxa" w:w="4195"/>
          </w:tcPr>
          <w:p>
            <w:r/>
            <w:r>
              <w:rPr>
                <w:sz w:val="20"/>
              </w:rPr>
              <w:t>sí → Vía lateral o anterolateral: marca el límite a 5 cm del acromion, incisión corta, separa sin pasar de 5 cm, palpa el nervio y deja sutura de tope [r1]; no → ¿Más de 2 partes con exposición medial amplia, luxación, cabeza dividida o revisión?</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¿Más de 2 partes con exposición medial amplia, luxación, cabeza dividida o revisión?</w:t>
            </w:r>
          </w:p>
        </w:tc>
        <w:tc>
          <w:tcPr>
            <w:tcW w:type="dxa" w:w="4195"/>
            <w:shd w:val="clear" w:color="auto" w:fill="EEF3F4"/>
          </w:tcPr>
          <w:p>
            <w:r/>
            <w:r>
              <w:rPr>
                <w:sz w:val="20"/>
              </w:rPr>
              <w:t>sí → Deltopectoral: válido para casi cualquier fractura y a menudo preferido [r31]; no → Vía lateral o anterolateral: marca el límite a 5 cm del acromion, incisión corta, separa sin pasar de 5 cm, palpa el nervio y deja sutura de tope [r1]</w:t>
            </w:r>
          </w:p>
        </w:tc>
      </w:tr>
      <w:tr>
        <w:tc>
          <w:tcPr>
            <w:tcW w:type="dxa" w:w="510"/>
          </w:tcPr>
          <w:p>
            <w:r/>
            <w:r>
              <w:rPr>
                <w:sz w:val="20"/>
              </w:rPr>
              <w:t>7</w:t>
            </w:r>
          </w:p>
        </w:tc>
        <w:tc>
          <w:tcPr>
            <w:tcW w:type="dxa" w:w="1134"/>
          </w:tcPr>
          <w:p>
            <w:r/>
            <w:r>
              <w:rPr>
                <w:sz w:val="20"/>
              </w:rPr>
              <w:t>Acción</w:t>
            </w:r>
          </w:p>
        </w:tc>
        <w:tc>
          <w:tcPr>
            <w:tcW w:type="dxa" w:w="3572"/>
          </w:tcPr>
          <w:p>
            <w:r/>
            <w:r>
              <w:rPr>
                <w:sz w:val="20"/>
              </w:rPr>
              <w:t>Deltopectoral: válido para casi cualquier fractura y a menudo preferido [r31]</w:t>
            </w:r>
          </w:p>
        </w:tc>
        <w:tc>
          <w:tcPr>
            <w:tcW w:type="dxa" w:w="4195"/>
          </w:tcPr>
          <w:p>
            <w:r/>
            <w:r>
              <w:rPr>
                <w:sz w:val="20"/>
              </w:rPr>
              <w:t>—</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Vía lateral o anterolateral: marca el límite a 5 cm del acromion, incisión corta, separa sin pasar de 5 cm, palpa el nervio y deja sutura de tope [r1]</w:t>
            </w:r>
          </w:p>
        </w:tc>
        <w:tc>
          <w:tcPr>
            <w:tcW w:type="dxa" w:w="4195"/>
            <w:shd w:val="clear" w:color="auto" w:fill="EEF3F4"/>
          </w:tcPr>
          <w:p>
            <w:r/>
            <w:r>
              <w:rPr>
                <w:sz w:val="20"/>
              </w:rPr>
              <w:t>continuar → ¿Pasarás una placa por debajo del nervio (MIPO)?</w:t>
            </w:r>
          </w:p>
        </w:tc>
      </w:tr>
      <w:tr>
        <w:tc>
          <w:tcPr>
            <w:tcW w:type="dxa" w:w="510"/>
          </w:tcPr>
          <w:p>
            <w:r/>
            <w:r>
              <w:rPr>
                <w:sz w:val="20"/>
              </w:rPr>
              <w:t>9</w:t>
            </w:r>
          </w:p>
        </w:tc>
        <w:tc>
          <w:tcPr>
            <w:tcW w:type="dxa" w:w="1134"/>
          </w:tcPr>
          <w:p>
            <w:r/>
            <w:r>
              <w:rPr>
                <w:sz w:val="20"/>
              </w:rPr>
              <w:t>Decisión</w:t>
            </w:r>
          </w:p>
        </w:tc>
        <w:tc>
          <w:tcPr>
            <w:tcW w:type="dxa" w:w="3572"/>
          </w:tcPr>
          <w:p>
            <w:r/>
            <w:r>
              <w:rPr>
                <w:sz w:val="20"/>
              </w:rPr>
              <w:t>¿Pasarás una placa por debajo del nervio (MIPO)?</w:t>
            </w:r>
          </w:p>
        </w:tc>
        <w:tc>
          <w:tcPr>
            <w:tcW w:type="dxa" w:w="4195"/>
          </w:tcPr>
          <w:p>
            <w:r/>
            <w:r>
              <w:rPr>
                <w:sz w:val="20"/>
              </w:rPr>
              <w:t>sí → Marca una segunda línea 2 cm más distal; las incisiones de tornillos van por debajo del nervio [r1]; no → Evita los 2 orificios distales de la cabeza [r10] y cierra por planos: fascia del deltoides, subcutáneo y piel [r1]</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Marca una segunda línea 2 cm más distal; las incisiones de tornillos van por debajo del nervio [r1]</w:t>
            </w:r>
          </w:p>
        </w:tc>
        <w:tc>
          <w:tcPr>
            <w:tcW w:type="dxa" w:w="4195"/>
            <w:shd w:val="clear" w:color="auto" w:fill="EEF3F4"/>
          </w:tcPr>
          <w:p>
            <w:r/>
            <w:r>
              <w:rPr>
                <w:sz w:val="20"/>
              </w:rPr>
              <w:t>continuar → Evita los 2 orificios distales de la cabeza [r10] y cierra por planos: fascia del deltoides, subcutáneo y piel [r1]</w:t>
            </w:r>
          </w:p>
        </w:tc>
      </w:tr>
      <w:tr>
        <w:tc>
          <w:tcPr>
            <w:tcW w:type="dxa" w:w="510"/>
          </w:tcPr>
          <w:p>
            <w:r/>
            <w:r>
              <w:rPr>
                <w:sz w:val="20"/>
              </w:rPr>
              <w:t>11</w:t>
            </w:r>
          </w:p>
        </w:tc>
        <w:tc>
          <w:tcPr>
            <w:tcW w:type="dxa" w:w="1134"/>
          </w:tcPr>
          <w:p>
            <w:r/>
            <w:r>
              <w:rPr>
                <w:sz w:val="20"/>
              </w:rPr>
              <w:t>Fin</w:t>
            </w:r>
          </w:p>
        </w:tc>
        <w:tc>
          <w:tcPr>
            <w:tcW w:type="dxa" w:w="3572"/>
          </w:tcPr>
          <w:p>
            <w:r/>
            <w:r>
              <w:rPr>
                <w:sz w:val="20"/>
              </w:rPr>
              <w:t>Evita los 2 orificios distales de la cabeza [r10] y cierra por planos: fascia del deltoides, subcutáneo y piel [r1]</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Transdeltoid lateral approach to the proximal humerus [Internet]. En: AO Surgery Reference. Davos: AO Foundation [consultado 2026 oct 12]. Disponible en: https://surgeryreference.aofoundation.org/orthopedic-trauma/adult-trauma/proximal-humerus/approach/transdeltoid-lateral-approach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https://surgeryreference.aofoundation.org/orthopedic-trauma/adult-trauma/proximal-humerus/approach/transdeltoid-lateral-approach</w:t>
        </w:r>
      </w:hyperlink>
    </w:p>
    <w:p>
      <w:pPr>
        <w:spacing w:after="60"/>
        <w:ind w:left="510" w:hanging="510"/>
      </w:pPr>
      <w:r>
        <w:rPr>
          <w:b/>
          <w:sz w:val="18"/>
        </w:rPr>
        <w:t xml:space="preserve">[r10] </w:t>
      </w:r>
      <w:r>
        <w:rPr>
          <w:sz w:val="18"/>
        </w:rPr>
        <w:t xml:space="preserve">Stecco C, Gagliano G, Lancerotto L, Tiengo C, Macchi V, Porzionato A, et al. Surgical anatomy of the axillary nerve and its implication in the transdeltoid approaches to the shoulder. J Shoulder Elbow Surg. 2010;19(8):1166-74. doi:10.1016/j.jse.2010.05.010 </w:t>
      </w:r>
      <w:r>
        <w:rPr>
          <w:i/>
          <w:color w:val="5A6469"/>
          <w:sz w:val="17"/>
        </w:rPr>
        <w:t xml:space="preserve">(serie · acceso resumen) </w:t>
      </w:r>
      <w:hyperlink r:id="rId39">
        <w:r>
          <w:rPr>
            <w:color w:val="0563C1"/>
            <w:u w:val="single"/>
            <w:sz w:val="18"/>
          </w:rPr>
          <w:t xml:space="preserve">https://doi.org/10.1016/j.jse.2010.05.010</w:t>
        </w:r>
      </w:hyperlink>
    </w:p>
    <w:p>
      <w:pPr>
        <w:spacing w:after="60"/>
        <w:ind w:left="510" w:hanging="510"/>
      </w:pPr>
      <w:r>
        <w:rPr>
          <w:b/>
          <w:sz w:val="18"/>
        </w:rPr>
        <w:t xml:space="preserve">[r15] </w:t>
      </w:r>
      <w:r>
        <w:rPr>
          <w:sz w:val="18"/>
        </w:rPr>
        <w:t xml:space="preserve">Visser CP, Coene LN, Brand R, Tavy DL. Nerve lesions in proximal humeral fractures. J Shoulder Elbow Surg. 2001;10(5):421-7. doi:10.1067/mse.2001.118002 </w:t>
      </w:r>
      <w:r>
        <w:rPr>
          <w:i/>
          <w:color w:val="5A6469"/>
          <w:sz w:val="17"/>
        </w:rPr>
        <w:t xml:space="preserve">(cohorte · acceso resumen) </w:t>
      </w:r>
      <w:hyperlink r:id="rId24">
        <w:r>
          <w:rPr>
            <w:color w:val="0563C1"/>
            <w:u w:val="single"/>
            <w:sz w:val="18"/>
          </w:rPr>
          <w:t xml:space="preserve">https://doi.org/10.1067/mse.2001.118002</w:t>
        </w:r>
      </w:hyperlink>
    </w:p>
    <w:p>
      <w:pPr>
        <w:spacing w:after="60"/>
        <w:ind w:left="510" w:hanging="510"/>
      </w:pPr>
      <w:r>
        <w:rPr>
          <w:b/>
          <w:sz w:val="18"/>
        </w:rPr>
        <w:t xml:space="preserve">[r16] </w:t>
      </w:r>
      <w:r>
        <w:rPr>
          <w:sz w:val="18"/>
        </w:rPr>
        <w:t xml:space="preserve">Westphal T, Woischnik S, Adolf D, Feistner H, Piatek S. Axillary nerve lesions after open reduction and internal fixation of proximal humeral fractures through an extended lateral deltoid-split approach: electrophysiological findings. J Shoulder Elbow Surg. 2017;26(3):464-471. doi:10.1016/j.jse.2016.07.027 </w:t>
      </w:r>
      <w:r>
        <w:rPr>
          <w:i/>
          <w:color w:val="5A6469"/>
          <w:sz w:val="17"/>
        </w:rPr>
        <w:t xml:space="preserve">(cohorte · acceso resumen) </w:t>
      </w:r>
      <w:hyperlink r:id="rId25">
        <w:r>
          <w:rPr>
            <w:color w:val="0563C1"/>
            <w:u w:val="single"/>
            <w:sz w:val="18"/>
          </w:rPr>
          <w:t xml:space="preserve">https://doi.org/10.1016/j.jse.2016.07.027</w:t>
        </w:r>
      </w:hyperlink>
    </w:p>
    <w:p>
      <w:pPr>
        <w:spacing w:after="60"/>
        <w:ind w:left="510" w:hanging="510"/>
      </w:pPr>
      <w:r>
        <w:rPr>
          <w:b/>
          <w:sz w:val="18"/>
        </w:rPr>
        <w:t xml:space="preserve">[r31] </w:t>
      </w:r>
      <w:r>
        <w:rPr>
          <w:sz w:val="18"/>
        </w:rPr>
        <w:t xml:space="preserve">Jaeger M, Leung F, Li W. Deltopectoral approach to the proximal humerus [Internet]. En: AO Surgery Reference. Davos: AO Foundation [consultado 2026 oct 12]. Disponible en: https://surgeryreference.aofoundation.org/orthopedic-trauma/adult-trauma/proximal-humerus/approach/deltopectoral-approach-to-the-proximal-humerus </w:t>
      </w:r>
      <w:r>
        <w:rPr>
          <w:i/>
          <w:color w:val="5A6469"/>
          <w:sz w:val="17"/>
        </w:rPr>
        <w:t xml:space="preserve">(web-oficial · acceso abierto) </w:t>
      </w:r>
      <w:hyperlink r:id="rId20">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[r34]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resumen) </w:t>
      </w:r>
      <w:hyperlink r:id="rId27">
        <w:r>
          <w:rPr>
            <w:color w:val="0563C1"/>
            <w:u w:val="single"/>
            <w:sz w:val="18"/>
          </w:rPr>
          <w:t xml:space="preserve">https://doi.org/10.1002/14651858.CD000434.pub5</w:t>
        </w:r>
      </w:hyperlink>
    </w:p>
    <w:p>
      <w:pPr>
        <w:pStyle w:val="Heading1"/>
      </w:pPr>
      <w:r>
        <w:t>Tratamiento</w:t>
      </w:r>
    </w:p>
    <w:p>
      <w:pPr>
        <w:pStyle w:val="Heading2"/>
      </w:pPr>
      <w:r>
        <w:t>El marco: primero la decisión de operar</w:t>
      </w:r>
    </w:p>
    <w:p>
      <w:r>
        <w:rPr/>
        <w:t>La Cochrane de 2022 reunió 47 ensayos con 3179 participantes [r34]. Para fracturas desplazadas, operar no mejoró la función a 1 año frente a no operar (SMD 0,10; IC 95 %, -0,07 a 0,27; certeza alta), y se asoció con más cirugías adicionales (RR 2,06; IC 95 %, 1,21 a 3,51; certeza baja) [r34]. Entre placa bloqueada y clavo, 4 ensayos con 270 participantes no mostraron diferencia importante en la función a 1 año (SMD 0,15; IC 95 %, -0,12 a 0,41; certeza baja) [r34]. Faltan datos en menores de 60, alta energía y fracturas de la tuberosidad en 2 partes [r34].</w:t>
      </w:r>
    </w:p>
    <w:p>
      <w:pPr>
        <w:pStyle w:val="Heading2"/>
      </w:pPr>
      <w:r>
        <w:t>Dónde entra el abordaje lateral</w:t>
      </w:r>
    </w:p>
    <w:p>
      <w:r>
        <w:rPr/>
        <w:t>Cuando se decide fijar, la vía lateral aporta una incisión corta y un plano relativamente avascular [r1]. Las series de la tabla describen la experiencia con esta vía, pero casi ninguna tiene comparador: léelas como descripción de resultados, no como prueba de superioridad.</w:t>
      </w:r>
    </w:p>
    <w:p>
      <w:pPr>
        <w:keepNext/>
      </w:pPr>
      <w:r>
        <w:rPr>
          <w:b/>
          <w:color w:val="0F5F6B"/>
          <w:sz w:val="20"/>
        </w:rPr>
        <w:t>Tabla 6. Resultados de series con delta split o MIPO por vía lateral</w:t>
      </w:r>
      <w:r>
        <w:rPr>
          <w:color w:val="5A6469"/>
          <w:sz w:val="18"/>
        </w:rPr>
        <w:t xml:space="preserve">  [r27] [r23] [r17] [r24] [r32]</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Serie</w:t>
            </w:r>
          </w:p>
        </w:tc>
        <w:tc>
          <w:tcPr>
            <w:tcW w:type="dxa" w:w="1882"/>
            <w:shd w:val="clear" w:color="auto" w:fill="0F5F6B"/>
          </w:tcPr>
          <w:p>
            <w:r/>
            <w:r>
              <w:rPr>
                <w:b/>
                <w:color w:val="FFFFFF"/>
                <w:sz w:val="20"/>
              </w:rPr>
              <w:t>Pacientes</w:t>
            </w:r>
          </w:p>
        </w:tc>
        <w:tc>
          <w:tcPr>
            <w:tcW w:type="dxa" w:w="1882"/>
            <w:shd w:val="clear" w:color="auto" w:fill="0F5F6B"/>
          </w:tcPr>
          <w:p>
            <w:r/>
            <w:r>
              <w:rPr>
                <w:b/>
                <w:color w:val="FFFFFF"/>
                <w:sz w:val="20"/>
              </w:rPr>
              <w:t>Resultado funcional</w:t>
            </w:r>
          </w:p>
        </w:tc>
        <w:tc>
          <w:tcPr>
            <w:tcW w:type="dxa" w:w="1882"/>
            <w:shd w:val="clear" w:color="auto" w:fill="0F5F6B"/>
          </w:tcPr>
          <w:p>
            <w:r/>
            <w:r>
              <w:rPr>
                <w:b/>
                <w:color w:val="FFFFFF"/>
                <w:sz w:val="20"/>
              </w:rPr>
              <w:t>Consolidación y complicaciones</w:t>
            </w:r>
          </w:p>
        </w:tc>
        <w:tc>
          <w:tcPr>
            <w:tcW w:type="dxa" w:w="1882"/>
            <w:shd w:val="clear" w:color="auto" w:fill="0F5F6B"/>
          </w:tcPr>
          <w:p>
            <w:r/>
            <w:r>
              <w:rPr>
                <w:b/>
                <w:color w:val="FFFFFF"/>
                <w:sz w:val="20"/>
              </w:rPr>
              <w:t>Fuente</w:t>
            </w:r>
          </w:p>
        </w:tc>
      </w:tr>
      <w:tr>
        <w:tc>
          <w:tcPr>
            <w:tcW w:type="dxa" w:w="1882"/>
          </w:tcPr>
          <w:p>
            <w:r/>
            <w:r>
              <w:rPr>
                <w:sz w:val="20"/>
              </w:rPr>
              <w:t>Acklin</w:t>
            </w:r>
          </w:p>
        </w:tc>
        <w:tc>
          <w:tcPr>
            <w:tcW w:type="dxa" w:w="1882"/>
          </w:tcPr>
          <w:p>
            <w:r/>
            <w:r>
              <w:rPr>
                <w:sz w:val="20"/>
              </w:rPr>
              <w:t>29</w:t>
            </w:r>
          </w:p>
        </w:tc>
        <w:tc>
          <w:tcPr>
            <w:tcW w:type="dxa" w:w="1882"/>
          </w:tcPr>
          <w:p>
            <w:r/>
            <w:r>
              <w:rPr>
                <w:sz w:val="20"/>
              </w:rPr>
              <w:t>Constant mediano 78</w:t>
            </w:r>
          </w:p>
        </w:tc>
        <w:tc>
          <w:tcPr>
            <w:tcW w:type="dxa" w:w="1882"/>
          </w:tcPr>
          <w:p>
            <w:r/>
            <w:r>
              <w:rPr>
                <w:sz w:val="20"/>
              </w:rPr>
              <w:t>Todas consolidaron; 1 lesión de la rama anterior (3 %)</w:t>
            </w:r>
          </w:p>
        </w:tc>
        <w:tc>
          <w:tcPr>
            <w:tcW w:type="dxa" w:w="1882"/>
          </w:tcPr>
          <w:p>
            <w:r/>
            <w:r>
              <w:rPr>
                <w:sz w:val="20"/>
              </w:rPr>
              <w:t>[r27]</w:t>
            </w:r>
          </w:p>
        </w:tc>
      </w:tr>
      <w:tr>
        <w:tc>
          <w:tcPr>
            <w:tcW w:type="dxa" w:w="1882"/>
            <w:shd w:val="clear" w:color="auto" w:fill="EEF3F4"/>
          </w:tcPr>
          <w:p>
            <w:r/>
            <w:r>
              <w:rPr>
                <w:sz w:val="20"/>
              </w:rPr>
              <w:t>Falez</w:t>
            </w:r>
          </w:p>
        </w:tc>
        <w:tc>
          <w:tcPr>
            <w:tcW w:type="dxa" w:w="1882"/>
            <w:shd w:val="clear" w:color="auto" w:fill="EEF3F4"/>
          </w:tcPr>
          <w:p>
            <w:r/>
            <w:r>
              <w:rPr>
                <w:sz w:val="20"/>
              </w:rPr>
              <w:t>76 (74 a 1 año)</w:t>
            </w:r>
          </w:p>
        </w:tc>
        <w:tc>
          <w:tcPr>
            <w:tcW w:type="dxa" w:w="1882"/>
            <w:shd w:val="clear" w:color="auto" w:fill="EEF3F4"/>
          </w:tcPr>
          <w:p>
            <w:r/>
            <w:r>
              <w:rPr>
                <w:sz w:val="20"/>
              </w:rPr>
              <w:t>Constant medio 71</w:t>
            </w:r>
          </w:p>
        </w:tc>
        <w:tc>
          <w:tcPr>
            <w:tcW w:type="dxa" w:w="1882"/>
            <w:shd w:val="clear" w:color="auto" w:fill="EEF3F4"/>
          </w:tcPr>
          <w:p>
            <w:r/>
            <w:r>
              <w:rPr>
                <w:sz w:val="20"/>
              </w:rPr>
              <w:t>Complicaciones en 20 pacientes (27 %); pinzamiento en 16,2 %</w:t>
            </w:r>
          </w:p>
        </w:tc>
        <w:tc>
          <w:tcPr>
            <w:tcW w:type="dxa" w:w="1882"/>
            <w:shd w:val="clear" w:color="auto" w:fill="EEF3F4"/>
          </w:tcPr>
          <w:p>
            <w:r/>
            <w:r>
              <w:rPr>
                <w:sz w:val="20"/>
              </w:rPr>
              <w:t>[r23]</w:t>
            </w:r>
          </w:p>
        </w:tc>
      </w:tr>
      <w:tr>
        <w:tc>
          <w:tcPr>
            <w:tcW w:type="dxa" w:w="1882"/>
          </w:tcPr>
          <w:p>
            <w:r/>
            <w:r>
              <w:rPr>
                <w:sz w:val="20"/>
              </w:rPr>
              <w:t>Shin (con movilización del haz del axilar)</w:t>
            </w:r>
          </w:p>
        </w:tc>
        <w:tc>
          <w:tcPr>
            <w:tcW w:type="dxa" w:w="1882"/>
          </w:tcPr>
          <w:p>
            <w:r/>
            <w:r>
              <w:rPr>
                <w:sz w:val="20"/>
              </w:rPr>
              <w:t>22</w:t>
            </w:r>
          </w:p>
        </w:tc>
        <w:tc>
          <w:tcPr>
            <w:tcW w:type="dxa" w:w="1882"/>
          </w:tcPr>
          <w:p>
            <w:r/>
            <w:r>
              <w:rPr>
                <w:sz w:val="20"/>
              </w:rPr>
              <w:t>Puntaje de Neer medio 93,5</w:t>
            </w:r>
          </w:p>
        </w:tc>
        <w:tc>
          <w:tcPr>
            <w:tcW w:type="dxa" w:w="1882"/>
          </w:tcPr>
          <w:p>
            <w:r/>
            <w:r>
              <w:rPr>
                <w:sz w:val="20"/>
              </w:rPr>
              <w:t>Todas consolidaron en 8,6 semanas de media; sin déficit del axilar</w:t>
            </w:r>
          </w:p>
        </w:tc>
        <w:tc>
          <w:tcPr>
            <w:tcW w:type="dxa" w:w="1882"/>
          </w:tcPr>
          <w:p>
            <w:r/>
            <w:r>
              <w:rPr>
                <w:sz w:val="20"/>
              </w:rPr>
              <w:t>[r32]</w:t>
            </w:r>
          </w:p>
        </w:tc>
      </w:tr>
      <w:tr>
        <w:tc>
          <w:tcPr>
            <w:tcW w:type="dxa" w:w="1882"/>
            <w:shd w:val="clear" w:color="auto" w:fill="EEF3F4"/>
          </w:tcPr>
          <w:p>
            <w:r/>
            <w:r>
              <w:rPr>
                <w:sz w:val="20"/>
              </w:rPr>
              <w:t>Gardner (anterolateral extendido)</w:t>
            </w:r>
          </w:p>
        </w:tc>
        <w:tc>
          <w:tcPr>
            <w:tcW w:type="dxa" w:w="1882"/>
            <w:shd w:val="clear" w:color="auto" w:fill="EEF3F4"/>
          </w:tcPr>
          <w:p>
            <w:r/>
            <w:r>
              <w:rPr>
                <w:sz w:val="20"/>
              </w:rPr>
              <w:t>16</w:t>
            </w:r>
          </w:p>
        </w:tc>
        <w:tc>
          <w:tcPr>
            <w:tcW w:type="dxa" w:w="1882"/>
            <w:shd w:val="clear" w:color="auto" w:fill="EEF3F4"/>
          </w:tcPr>
          <w:p>
            <w:r/>
            <w:r>
              <w:rPr>
                <w:sz w:val="20"/>
              </w:rPr>
              <w:t>sin dato</w:t>
            </w:r>
          </w:p>
        </w:tc>
        <w:tc>
          <w:tcPr>
            <w:tcW w:type="dxa" w:w="1882"/>
            <w:shd w:val="clear" w:color="auto" w:fill="EEF3F4"/>
          </w:tcPr>
          <w:p>
            <w:r/>
            <w:r>
              <w:rPr>
                <w:sz w:val="20"/>
              </w:rPr>
              <w:t>Sin complicaciones de la vía</w:t>
            </w:r>
          </w:p>
        </w:tc>
        <w:tc>
          <w:tcPr>
            <w:tcW w:type="dxa" w:w="1882"/>
            <w:shd w:val="clear" w:color="auto" w:fill="EEF3F4"/>
          </w:tcPr>
          <w:p>
            <w:r/>
            <w:r>
              <w:rPr>
                <w:sz w:val="20"/>
              </w:rPr>
              <w:t>[r17]</w:t>
            </w:r>
          </w:p>
        </w:tc>
      </w:tr>
      <w:tr>
        <w:tc>
          <w:tcPr>
            <w:tcW w:type="dxa" w:w="1882"/>
          </w:tcPr>
          <w:p>
            <w:r/>
            <w:r>
              <w:rPr>
                <w:sz w:val="20"/>
              </w:rPr>
              <w:t>Röderer (placa NCB)</w:t>
            </w:r>
          </w:p>
        </w:tc>
        <w:tc>
          <w:tcPr>
            <w:tcW w:type="dxa" w:w="1882"/>
          </w:tcPr>
          <w:p>
            <w:r/>
            <w:r>
              <w:rPr>
                <w:sz w:val="20"/>
              </w:rPr>
              <w:t>22</w:t>
            </w:r>
          </w:p>
        </w:tc>
        <w:tc>
          <w:tcPr>
            <w:tcW w:type="dxa" w:w="1882"/>
          </w:tcPr>
          <w:p>
            <w:r/>
            <w:r>
              <w:rPr>
                <w:sz w:val="20"/>
              </w:rPr>
              <w:t>sin dato</w:t>
            </w:r>
          </w:p>
        </w:tc>
        <w:tc>
          <w:tcPr>
            <w:tcW w:type="dxa" w:w="1882"/>
          </w:tcPr>
          <w:p>
            <w:r/>
            <w:r>
              <w:rPr>
                <w:sz w:val="20"/>
              </w:rPr>
              <w:t>Sin lesión del axilar en el seguimiento temprano</w:t>
            </w:r>
          </w:p>
        </w:tc>
        <w:tc>
          <w:tcPr>
            <w:tcW w:type="dxa" w:w="1882"/>
          </w:tcPr>
          <w:p>
            <w:r/>
            <w:r>
              <w:rPr>
                <w:sz w:val="20"/>
              </w:rPr>
              <w:t>[r24]</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Transdeltoid lateral approach to the proximal humerus [Internet]. En: AO Surgery Reference. Davos: AO Foundation [consultado 2026 oct 12]. Disponible en: https://surgeryreference.aofoundation.org/orthopedic-trauma/adult-trauma/proximal-humerus/approach/transdeltoid-lateral-approach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https://surgeryreference.aofoundation.org/orthopedic-trauma/adult-trauma/proximal-humerus/approach/transdeltoid-lateral-approach</w:t>
        </w:r>
      </w:hyperlink>
    </w:p>
    <w:p>
      <w:pPr>
        <w:spacing w:after="60"/>
        <w:ind w:left="510" w:hanging="510"/>
      </w:pPr>
      <w:r>
        <w:rPr>
          <w:b/>
          <w:sz w:val="18"/>
        </w:rPr>
        <w:t xml:space="preserve">[r17] </w:t>
      </w:r>
      <w:r>
        <w:rPr>
          <w:sz w:val="18"/>
        </w:rPr>
        <w:t xml:space="preserve">Gardner MJ, Griffith MH, Dines JS, Briggs SM, Weiland AJ, Lorich DG. The extended anterolateral acromial approach allows minimally invasive access to the proximal humerus. Clin Orthop Relat Res. 2005;(434):123-9. doi:10.1097/01.blo.0000152872.95806.09 </w:t>
      </w:r>
      <w:r>
        <w:rPr>
          <w:i/>
          <w:color w:val="5A6469"/>
          <w:sz w:val="17"/>
        </w:rPr>
        <w:t xml:space="preserve">(serie · acceso resumen) </w:t>
      </w:r>
      <w:hyperlink r:id="rId53">
        <w:r>
          <w:rPr>
            <w:color w:val="0563C1"/>
            <w:u w:val="single"/>
            <w:sz w:val="18"/>
          </w:rPr>
          <w:t xml:space="preserve">https://doi.org/10.1097/01.blo.0000152872.95806.09</w:t>
        </w:r>
      </w:hyperlink>
    </w:p>
    <w:p>
      <w:pPr>
        <w:spacing w:after="60"/>
        <w:ind w:left="510" w:hanging="510"/>
      </w:pPr>
      <w:r>
        <w:rPr>
          <w:b/>
          <w:sz w:val="18"/>
        </w:rPr>
        <w:t xml:space="preserve">[r23] </w:t>
      </w:r>
      <w:r>
        <w:rPr>
          <w:sz w:val="18"/>
        </w:rPr>
        <w:t xml:space="preserve">Falez F, Papalia M, Greco A, Teti A, Favetti F, Panegrossi G, et al. Minimally invasive plate osteosynthesis in proximal humeral fractures: one-year results of a prospective multicenter study. Int Orthop. 2016;40(3):579-85. doi:10.1007/s00264-015-3069-z </w:t>
      </w:r>
      <w:r>
        <w:rPr>
          <w:i/>
          <w:color w:val="5A6469"/>
          <w:sz w:val="17"/>
        </w:rPr>
        <w:t xml:space="preserve">(serie · acceso resumen) </w:t>
      </w:r>
      <w:hyperlink r:id="rId54">
        <w:r>
          <w:rPr>
            <w:color w:val="0563C1"/>
            <w:u w:val="single"/>
            <w:sz w:val="18"/>
          </w:rPr>
          <w:t xml:space="preserve">https://doi.org/10.1007/s00264-015-3069-z</w:t>
        </w:r>
      </w:hyperlink>
    </w:p>
    <w:p>
      <w:pPr>
        <w:spacing w:after="60"/>
        <w:ind w:left="510" w:hanging="510"/>
      </w:pPr>
      <w:r>
        <w:rPr>
          <w:b/>
          <w:sz w:val="18"/>
        </w:rPr>
        <w:t xml:space="preserve">[r24] </w:t>
      </w:r>
      <w:r>
        <w:rPr>
          <w:sz w:val="18"/>
        </w:rPr>
        <w:t xml:space="preserve">Röderer G, Abouelsoud M, Gebhard F, Böckers TM, Kinzl L. Minimally invasive application of the non-contact-bridging (NCB) plate to the proximal humerus: an anatomical study. J Orthop Trauma. 2007;21(9):621-7. doi:10.1097/BOT.0b013e318157f0cd </w:t>
      </w:r>
      <w:r>
        <w:rPr>
          <w:i/>
          <w:color w:val="5A6469"/>
          <w:sz w:val="17"/>
        </w:rPr>
        <w:t xml:space="preserve">(serie · acceso resumen) </w:t>
      </w:r>
      <w:hyperlink r:id="rId55">
        <w:r>
          <w:rPr>
            <w:color w:val="0563C1"/>
            <w:u w:val="single"/>
            <w:sz w:val="18"/>
          </w:rPr>
          <w:t xml:space="preserve">https://doi.org/10.1097/BOT.0b013e318157f0cd</w:t>
        </w:r>
      </w:hyperlink>
    </w:p>
    <w:p>
      <w:pPr>
        <w:spacing w:after="60"/>
        <w:ind w:left="510" w:hanging="510"/>
      </w:pPr>
      <w:r>
        <w:rPr>
          <w:b/>
          <w:sz w:val="18"/>
        </w:rPr>
        <w:t xml:space="preserve">[r27] </w:t>
      </w:r>
      <w:r>
        <w:rPr>
          <w:sz w:val="18"/>
        </w:rPr>
        <w:t xml:space="preserve">Acklin YP, Sommer C. Plate fixation of proximal humerus fractures using the minimally invasive anterolateral delta split approach. Oper Orthop Traumatol. 2012;24(1):61-73. doi:10.1007/s00064-011-0051-9 </w:t>
      </w:r>
      <w:r>
        <w:rPr>
          <w:i/>
          <w:color w:val="5A6469"/>
          <w:sz w:val="17"/>
        </w:rPr>
        <w:t xml:space="preserve">(serie · acceso resumen) </w:t>
      </w:r>
      <w:hyperlink r:id="rId16">
        <w:r>
          <w:rPr>
            <w:color w:val="0563C1"/>
            <w:u w:val="single"/>
            <w:sz w:val="18"/>
          </w:rPr>
          <w:t xml:space="preserve">https://doi.org/10.1007/s00064-011-0051-9</w:t>
        </w:r>
      </w:hyperlink>
    </w:p>
    <w:p>
      <w:pPr>
        <w:spacing w:after="60"/>
        <w:ind w:left="510" w:hanging="510"/>
      </w:pPr>
      <w:r>
        <w:rPr>
          <w:b/>
          <w:sz w:val="18"/>
        </w:rPr>
        <w:t xml:space="preserve">[r32] </w:t>
      </w:r>
      <w:r>
        <w:rPr>
          <w:sz w:val="18"/>
        </w:rPr>
        <w:t xml:space="preserve">Shin YH, Lee YH, Choi HS, Kim MB, Pyo SH, Baek GH. A modified deltoid splitting approach with axillary nerve bundle mobilization for proximal humeral fracture fixation. Injury. 2017;48(11):2569-2574. doi:10.1016/j.injury.2017.09.007 </w:t>
      </w:r>
      <w:r>
        <w:rPr>
          <w:i/>
          <w:color w:val="5A6469"/>
          <w:sz w:val="17"/>
        </w:rPr>
        <w:t xml:space="preserve">(serie · acceso resumen) </w:t>
      </w:r>
      <w:hyperlink r:id="rId21">
        <w:r>
          <w:rPr>
            <w:color w:val="0563C1"/>
            <w:u w:val="single"/>
            <w:sz w:val="18"/>
          </w:rPr>
          <w:t xml:space="preserve">https://doi.org/10.1016/j.injury.2017.09.007</w:t>
        </w:r>
      </w:hyperlink>
    </w:p>
    <w:p>
      <w:pPr>
        <w:spacing w:after="60"/>
        <w:ind w:left="510" w:hanging="510"/>
      </w:pPr>
      <w:r>
        <w:rPr>
          <w:b/>
          <w:sz w:val="18"/>
        </w:rPr>
        <w:t xml:space="preserve">[r34]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resumen) </w:t>
      </w:r>
      <w:hyperlink r:id="rId27">
        <w:r>
          <w:rPr>
            <w:color w:val="0563C1"/>
            <w:u w:val="single"/>
            <w:sz w:val="18"/>
          </w:rPr>
          <w:t xml:space="preserve">https://doi.org/10.1002/14651858.CD000434.pub5</w:t>
        </w:r>
      </w:hyperlink>
    </w:p>
    <w:p>
      <w:pPr>
        <w:pStyle w:val="Heading1"/>
      </w:pPr>
      <w:r>
        <w:t>Técnica: paso a paso</w:t>
      </w:r>
    </w:p>
    <w:p>
      <w:pPr>
        <w:pStyle w:val="Heading2"/>
      </w:pPr>
      <w:r>
        <w:t>Cómo se hace, para entender</w:t>
      </w:r>
    </w:p>
    <w:p>
      <w:r>
        <w:rPr/>
        <w:t>Es apoyo de estudio: no sustituye al tutor ni al manual del implante. Los pasos siguen las descripciones de la AO [r1][r26] y las series citadas; cuando algo es costumbre sin estudio, se rotula práctica habitual / opinión experta.</w:t>
      </w:r>
    </w:p>
    <w:p>
      <w:pPr>
        <w:pStyle w:val="Heading2"/>
      </w:pPr>
      <w:r>
        <w:t>Errores frecuentes del residente</w:t>
      </w:r>
    </w:p>
    <w:p>
      <w:pPr>
        <w:pStyle w:val="ListBullet"/>
      </w:pPr>
      <w:r>
        <w:rPr/>
        <w:t>Olvidar marcar los límites antes de cortar: la AO pide las líneas en la piel (5 cm y, para MIPO, 2 cm más distal) [r1].</w:t>
      </w:r>
    </w:p>
    <w:p>
      <w:pPr>
        <w:pStyle w:val="ListBullet"/>
      </w:pPr>
      <w:r>
        <w:rPr/>
        <w:t>Dividir el deltoides más de 5 cm: puede paralizar la porción anterior [r1].</w:t>
      </w:r>
    </w:p>
    <w:p>
      <w:pPr>
        <w:pStyle w:val="ListBullet"/>
      </w:pPr>
      <w:r>
        <w:rPr/>
        <w:t>Dejar el separador abierto y fijo: la deformación del nervio crece clic a clic [r3].</w:t>
      </w:r>
    </w:p>
    <w:p>
      <w:pPr>
        <w:pStyle w:val="ListBullet"/>
      </w:pPr>
      <w:r>
        <w:rPr/>
        <w:t>Pasar la placa sin contacto óseo estricto: el nervio la cruza en todos los casos en cadáver [r24].</w:t>
      </w:r>
    </w:p>
    <w:p>
      <w:pPr>
        <w:pStyle w:val="ListBullet"/>
      </w:pPr>
      <w:r>
        <w:rPr/>
        <w:t>Poner la placa demasiado alta: 9,5 % de pinzamiento por placa proximal en una serie de 74 [r23].</w:t>
      </w:r>
    </w:p>
    <w:p>
      <w:pPr>
        <w:pStyle w:val="ListBullet"/>
      </w:pPr>
      <w:r>
        <w:rPr/>
        <w:t>Aceptar un varo: causó pinzamiento en 6,7 % de esos 74 pacientes [r23].</w:t>
      </w:r>
    </w:p>
    <w:p>
      <w:pPr>
        <w:pStyle w:val="ListBullet"/>
      </w:pPr>
      <w:r>
        <w:rPr/>
        <w:t>Elegir la placa sin mirar su diseño: la proporción de orificios en zona de riesgo del nervio fue de 2 de 9 a 6 de 12 según el modelo, en 33 extremidades de cadáver [r49].</w:t>
      </w:r>
    </w:p>
    <w:p>
      <w:pPr>
        <w:pStyle w:val="ListBullet"/>
      </w:pPr>
      <w:r>
        <w:rPr/>
        <w:t>Usar guías roscadas sin pensar: tensaron el nervio en cadáver [r12].</w:t>
      </w:r>
    </w:p>
    <w:p>
      <w:pPr>
        <w:pStyle w:val="ListBullet"/>
      </w:pPr>
      <w:r>
        <w:rPr/>
        <w:t>Perforar de más la cortical lejana: puede lesionar el tronco del axilar [r38].</w:t>
      </w:r>
    </w:p>
    <w:p>
      <w:pPr>
        <w:keepNext/>
      </w:pPr>
      <w:r>
        <w:rPr>
          <w:b/>
          <w:color w:val="0F5F6B"/>
          <w:sz w:val="20"/>
        </w:rPr>
        <w:t>Figura 4. Orificios de la placa en zona de riesgo del nervio, por diseño (% de orificios)</w:t>
      </w:r>
      <w:r>
        <w:rPr>
          <w:color w:val="5A6469"/>
          <w:sz w:val="18"/>
        </w:rPr>
        <w:t xml:space="preserve">  [r49]</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Transdeltoid lateral approach to the proximal humerus [Internet]. En: AO Surgery Reference. Davos: AO Foundation [consultado 2026 oct 12]. Disponible en: https://surgeryreference.aofoundation.org/orthopedic-trauma/adult-trauma/proximal-humerus/approach/transdeltoid-lateral-approach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https://surgeryreference.aofoundation.org/orthopedic-trauma/adult-trauma/proximal-humerus/approach/transdeltoid-lateral-approach</w:t>
        </w:r>
      </w:hyperlink>
    </w:p>
    <w:p>
      <w:pPr>
        <w:spacing w:after="60"/>
        <w:ind w:left="510" w:hanging="510"/>
      </w:pPr>
      <w:r>
        <w:rPr>
          <w:b/>
          <w:sz w:val="18"/>
        </w:rPr>
        <w:t xml:space="preserve">[r3] </w:t>
      </w:r>
      <w:r>
        <w:rPr>
          <w:sz w:val="18"/>
        </w:rPr>
        <w:t xml:space="preserve">Traver JL, Guzman MA, Cannada LK, Kaar SG. Is the Axillary Nerve at Risk During a Deltoid-Splitting Approach for Proximal Humerus Fractures? J Orthop Trauma. 2016;30(5):240-4. doi:10.1097/BOT.0000000000000492 </w:t>
      </w:r>
      <w:r>
        <w:rPr>
          <w:i/>
          <w:color w:val="5A6469"/>
          <w:sz w:val="17"/>
        </w:rPr>
        <w:t xml:space="preserve">(serie · acceso resumen) </w:t>
      </w:r>
      <w:hyperlink r:id="rId37">
        <w:r>
          <w:rPr>
            <w:color w:val="0563C1"/>
            <w:u w:val="single"/>
            <w:sz w:val="18"/>
          </w:rPr>
          <w:t xml:space="preserve">https://doi.org/10.1097/BOT.0000000000000492</w:t>
        </w:r>
      </w:hyperlink>
    </w:p>
    <w:p>
      <w:pPr>
        <w:spacing w:after="60"/>
        <w:ind w:left="510" w:hanging="510"/>
      </w:pPr>
      <w:r>
        <w:rPr>
          <w:b/>
          <w:sz w:val="18"/>
        </w:rPr>
        <w:t xml:space="preserve">[r9] </w:t>
      </w:r>
      <w:r>
        <w:rPr>
          <w:sz w:val="18"/>
        </w:rPr>
        <w:t xml:space="preserve">Cheung S, Fitzpatrick M, Lee TQ. Effects of shoulder position on axillary nerve positions during the split lateral deltoid approach. J Shoulder Elbow Surg. 2009;18(5):748-55. doi:10.1016/j.jse.2008.12.001 </w:t>
      </w:r>
      <w:r>
        <w:rPr>
          <w:i/>
          <w:color w:val="5A6469"/>
          <w:sz w:val="17"/>
        </w:rPr>
        <w:t xml:space="preserve">(serie · acceso resumen) </w:t>
      </w:r>
      <w:hyperlink r:id="rId38">
        <w:r>
          <w:rPr>
            <w:color w:val="0563C1"/>
            <w:u w:val="single"/>
            <w:sz w:val="18"/>
          </w:rPr>
          <w:t xml:space="preserve">https://doi.org/10.1016/j.jse.2008.12.001</w:t>
        </w:r>
      </w:hyperlink>
    </w:p>
    <w:p>
      <w:pPr>
        <w:spacing w:after="60"/>
        <w:ind w:left="510" w:hanging="510"/>
      </w:pPr>
      <w:r>
        <w:rPr>
          <w:b/>
          <w:sz w:val="18"/>
        </w:rPr>
        <w:t xml:space="preserve">[r10] </w:t>
      </w:r>
      <w:r>
        <w:rPr>
          <w:sz w:val="18"/>
        </w:rPr>
        <w:t xml:space="preserve">Stecco C, Gagliano G, Lancerotto L, Tiengo C, Macchi V, Porzionato A, et al. Surgical anatomy of the axillary nerve and its implication in the transdeltoid approaches to the shoulder. J Shoulder Elbow Surg. 2010;19(8):1166-74. doi:10.1016/j.jse.2010.05.010 </w:t>
      </w:r>
      <w:r>
        <w:rPr>
          <w:i/>
          <w:color w:val="5A6469"/>
          <w:sz w:val="17"/>
        </w:rPr>
        <w:t xml:space="preserve">(serie · acceso resumen) </w:t>
      </w:r>
      <w:hyperlink r:id="rId39">
        <w:r>
          <w:rPr>
            <w:color w:val="0563C1"/>
            <w:u w:val="single"/>
            <w:sz w:val="18"/>
          </w:rPr>
          <w:t xml:space="preserve">https://doi.org/10.1016/j.jse.2010.05.010</w:t>
        </w:r>
      </w:hyperlink>
    </w:p>
    <w:p>
      <w:pPr>
        <w:spacing w:after="60"/>
        <w:ind w:left="510" w:hanging="510"/>
      </w:pPr>
      <w:r>
        <w:rPr>
          <w:b/>
          <w:sz w:val="18"/>
        </w:rPr>
        <w:t xml:space="preserve">[r11] </w:t>
      </w:r>
      <w:r>
        <w:rPr>
          <w:sz w:val="18"/>
        </w:rPr>
        <w:t xml:space="preserve">Dang KH, Ornell SS, Reyes G, Hussey M, Dutta AK. A new risk to the axillary nerve during percutaneous proximal humeral plate fixation using the Synthes PHILOS aiming system. J Shoulder Elbow Surg. 2019;28(9):1795-1800. doi:10.1016/j.jse.2019.01.019 </w:t>
      </w:r>
      <w:r>
        <w:rPr>
          <w:i/>
          <w:color w:val="5A6469"/>
          <w:sz w:val="17"/>
        </w:rPr>
        <w:t xml:space="preserve">(serie · acceso resumen) </w:t>
      </w:r>
      <w:hyperlink r:id="rId57">
        <w:r>
          <w:rPr>
            <w:color w:val="0563C1"/>
            <w:u w:val="single"/>
            <w:sz w:val="18"/>
          </w:rPr>
          <w:t xml:space="preserve">https://doi.org/10.1016/j.jse.2019.01.019</w:t>
        </w:r>
      </w:hyperlink>
    </w:p>
    <w:p>
      <w:pPr>
        <w:spacing w:after="60"/>
        <w:ind w:left="510" w:hanging="510"/>
      </w:pPr>
      <w:r>
        <w:rPr>
          <w:b/>
          <w:sz w:val="18"/>
        </w:rPr>
        <w:t xml:space="preserve">[r12] </w:t>
      </w:r>
      <w:r>
        <w:rPr>
          <w:sz w:val="18"/>
        </w:rPr>
        <w:t xml:space="preserve">Smith J, Berry G, Laflamme Y, Blain-Pare E, Reindl R, Harvey E. Percutaneous insertion of a proximal humeral locking plate: an anatomic study. Injury. 2007;38(2):206-11. doi:10.1016/j.injury.2006.08.025 </w:t>
      </w:r>
      <w:r>
        <w:rPr>
          <w:i/>
          <w:color w:val="5A6469"/>
          <w:sz w:val="17"/>
        </w:rPr>
        <w:t xml:space="preserve">(serie · acceso resumen) </w:t>
      </w:r>
      <w:hyperlink r:id="rId58">
        <w:r>
          <w:rPr>
            <w:color w:val="0563C1"/>
            <w:u w:val="single"/>
            <w:sz w:val="18"/>
          </w:rPr>
          <w:t xml:space="preserve">https://doi.org/10.1016/j.injury.2006.08.025</w:t>
        </w:r>
      </w:hyperlink>
    </w:p>
    <w:p>
      <w:pPr>
        <w:spacing w:after="60"/>
        <w:ind w:left="510" w:hanging="510"/>
      </w:pPr>
      <w:r>
        <w:rPr>
          <w:b/>
          <w:sz w:val="18"/>
        </w:rPr>
        <w:t xml:space="preserve">[r13] </w:t>
      </w:r>
      <w:r>
        <w:rPr>
          <w:sz w:val="18"/>
        </w:rPr>
        <w:t xml:space="preserve">Jeon N, Park S, Bae KH, Park KC, Hwang Bo BH, Lim TK. The use of medial support screw was associated with axillary nerve injury after plate fixation of proximal humeral fracture using minimal invasive deltoid-splitting approach. J Orthop Sci. 2023;28(2):432-437. doi:10.1016/j.jos.2021.11.004 </w:t>
      </w:r>
      <w:r>
        <w:rPr>
          <w:i/>
          <w:color w:val="5A6469"/>
          <w:sz w:val="17"/>
        </w:rPr>
        <w:t xml:space="preserve">(cohorte · acceso resumen) </w:t>
      </w:r>
      <w:hyperlink r:id="rId23">
        <w:r>
          <w:rPr>
            <w:color w:val="0563C1"/>
            <w:u w:val="single"/>
            <w:sz w:val="18"/>
          </w:rPr>
          <w:t xml:space="preserve">https://doi.org/10.1016/j.jos.2021.11.004</w:t>
        </w:r>
      </w:hyperlink>
    </w:p>
    <w:p>
      <w:pPr>
        <w:spacing w:after="60"/>
        <w:ind w:left="510" w:hanging="510"/>
      </w:pPr>
      <w:r>
        <w:rPr>
          <w:b/>
          <w:sz w:val="18"/>
        </w:rPr>
        <w:t xml:space="preserve">[r17] </w:t>
      </w:r>
      <w:r>
        <w:rPr>
          <w:sz w:val="18"/>
        </w:rPr>
        <w:t xml:space="preserve">Gardner MJ, Griffith MH, Dines JS, Briggs SM, Weiland AJ, Lorich DG. The extended anterolateral acromial approach allows minimally invasive access to the proximal humerus. Clin Orthop Relat Res. 2005;(434):123-9. doi:10.1097/01.blo.0000152872.95806.09 </w:t>
      </w:r>
      <w:r>
        <w:rPr>
          <w:i/>
          <w:color w:val="5A6469"/>
          <w:sz w:val="17"/>
        </w:rPr>
        <w:t xml:space="preserve">(serie · acceso resumen) </w:t>
      </w:r>
      <w:hyperlink r:id="rId53">
        <w:r>
          <w:rPr>
            <w:color w:val="0563C1"/>
            <w:u w:val="single"/>
            <w:sz w:val="18"/>
          </w:rPr>
          <w:t xml:space="preserve">https://doi.org/10.1097/01.blo.0000152872.95806.09</w:t>
        </w:r>
      </w:hyperlink>
    </w:p>
    <w:p>
      <w:pPr>
        <w:spacing w:after="60"/>
        <w:ind w:left="510" w:hanging="510"/>
      </w:pPr>
      <w:r>
        <w:rPr>
          <w:b/>
          <w:sz w:val="18"/>
        </w:rPr>
        <w:t xml:space="preserve">[r23] </w:t>
      </w:r>
      <w:r>
        <w:rPr>
          <w:sz w:val="18"/>
        </w:rPr>
        <w:t xml:space="preserve">Falez F, Papalia M, Greco A, Teti A, Favetti F, Panegrossi G, et al. Minimally invasive plate osteosynthesis in proximal humeral fractures: one-year results of a prospective multicenter study. Int Orthop. 2016;40(3):579-85. doi:10.1007/s00264-015-3069-z </w:t>
      </w:r>
      <w:r>
        <w:rPr>
          <w:i/>
          <w:color w:val="5A6469"/>
          <w:sz w:val="17"/>
        </w:rPr>
        <w:t xml:space="preserve">(serie · acceso resumen) </w:t>
      </w:r>
      <w:hyperlink r:id="rId54">
        <w:r>
          <w:rPr>
            <w:color w:val="0563C1"/>
            <w:u w:val="single"/>
            <w:sz w:val="18"/>
          </w:rPr>
          <w:t xml:space="preserve">https://doi.org/10.1007/s00264-015-3069-z</w:t>
        </w:r>
      </w:hyperlink>
    </w:p>
    <w:p>
      <w:pPr>
        <w:spacing w:after="60"/>
        <w:ind w:left="510" w:hanging="510"/>
      </w:pPr>
      <w:r>
        <w:rPr>
          <w:b/>
          <w:sz w:val="18"/>
        </w:rPr>
        <w:t xml:space="preserve">[r24] </w:t>
      </w:r>
      <w:r>
        <w:rPr>
          <w:sz w:val="18"/>
        </w:rPr>
        <w:t xml:space="preserve">Röderer G, Abouelsoud M, Gebhard F, Böckers TM, Kinzl L. Minimally invasive application of the non-contact-bridging (NCB) plate to the proximal humerus: an anatomical study. J Orthop Trauma. 2007;21(9):621-7. doi:10.1097/BOT.0b013e318157f0cd </w:t>
      </w:r>
      <w:r>
        <w:rPr>
          <w:i/>
          <w:color w:val="5A6469"/>
          <w:sz w:val="17"/>
        </w:rPr>
        <w:t xml:space="preserve">(serie · acceso resumen) </w:t>
      </w:r>
      <w:hyperlink r:id="rId55">
        <w:r>
          <w:rPr>
            <w:color w:val="0563C1"/>
            <w:u w:val="single"/>
            <w:sz w:val="18"/>
          </w:rPr>
          <w:t xml:space="preserve">https://doi.org/10.1097/BOT.0b013e318157f0cd</w:t>
        </w:r>
      </w:hyperlink>
    </w:p>
    <w:p>
      <w:pPr>
        <w:spacing w:after="60"/>
        <w:ind w:left="510" w:hanging="510"/>
      </w:pPr>
      <w:r>
        <w:rPr>
          <w:b/>
          <w:sz w:val="18"/>
        </w:rPr>
        <w:t xml:space="preserve">[r26] </w:t>
      </w:r>
      <w:r>
        <w:rPr>
          <w:sz w:val="18"/>
        </w:rPr>
        <w:t xml:space="preserve">Jaeger M, Leung F, Li W. Anterolateral approach to the proximal humerus [Internet]. En: AO Surgery Reference. Davos: AO Foundation [consultado 2026 oct 12]. Disponible en: https://surgeryreference.aofoundation.org/orthopedic-trauma/adult-trauma/proximal-humerus/approach/anterolateral-approach </w:t>
      </w:r>
      <w:r>
        <w:rPr>
          <w:i/>
          <w:color w:val="5A6469"/>
          <w:sz w:val="17"/>
        </w:rPr>
        <w:t xml:space="preserve">(web-oficial · acceso abierto) </w:t>
      </w:r>
      <w:hyperlink r:id="rId15">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[r27] </w:t>
      </w:r>
      <w:r>
        <w:rPr>
          <w:sz w:val="18"/>
        </w:rPr>
        <w:t xml:space="preserve">Acklin YP, Sommer C. Plate fixation of proximal humerus fractures using the minimally invasive anterolateral delta split approach. Oper Orthop Traumatol. 2012;24(1):61-73. doi:10.1007/s00064-011-0051-9 </w:t>
      </w:r>
      <w:r>
        <w:rPr>
          <w:i/>
          <w:color w:val="5A6469"/>
          <w:sz w:val="17"/>
        </w:rPr>
        <w:t xml:space="preserve">(serie · acceso resumen) </w:t>
      </w:r>
      <w:hyperlink r:id="rId16">
        <w:r>
          <w:rPr>
            <w:color w:val="0563C1"/>
            <w:u w:val="single"/>
            <w:sz w:val="18"/>
          </w:rPr>
          <w:t xml:space="preserve">https://doi.org/10.1007/s00064-011-0051-9</w:t>
        </w:r>
      </w:hyperlink>
    </w:p>
    <w:p>
      <w:pPr>
        <w:spacing w:after="60"/>
        <w:ind w:left="510" w:hanging="510"/>
      </w:pPr>
      <w:r>
        <w:rPr>
          <w:b/>
          <w:sz w:val="18"/>
        </w:rPr>
        <w:t xml:space="preserve">[r28] </w:t>
      </w:r>
      <w:r>
        <w:rPr>
          <w:sz w:val="18"/>
        </w:rPr>
        <w:t xml:space="preserve">Lin T, Xiao B, Ma X, Fu D, Yang S. Minimally invasive plate osteosynthesis with a locking compression plate is superior to open reduction and internal fixation in the management of the proximal humerus fractures. BMC Musculoskelet Disord. 2014;15:206. doi:10.1186/1471-2474-15-206 </w:t>
      </w:r>
      <w:r>
        <w:rPr>
          <w:i/>
          <w:color w:val="5A6469"/>
          <w:sz w:val="17"/>
        </w:rPr>
        <w:t xml:space="preserve">(cohorte · acceso abierto) </w:t>
      </w:r>
      <w:hyperlink r:id="rId17">
        <w:r>
          <w:rPr>
            <w:color w:val="0563C1"/>
            <w:u w:val="single"/>
            <w:sz w:val="18"/>
          </w:rPr>
          <w:t xml:space="preserve">https://doi.org/10.1186/1471-2474-15-206</w:t>
        </w:r>
      </w:hyperlink>
    </w:p>
    <w:p>
      <w:pPr>
        <w:spacing w:after="60"/>
        <w:ind w:left="510" w:hanging="510"/>
      </w:pPr>
      <w:r>
        <w:rPr>
          <w:b/>
          <w:sz w:val="18"/>
        </w:rPr>
        <w:t xml:space="preserve">[r38] </w:t>
      </w:r>
      <w:r>
        <w:rPr>
          <w:sz w:val="18"/>
        </w:rPr>
        <w:t xml:space="preserve">Jaeger M, Leung F, Li W. Safe zones in the humerus [Internet]. En: AO Surgery Reference. Davos: AO Foundation [consultado 2026 oct 12]. Disponible en: https://surgeryreference.aofoundation.org/orthopedic-trauma/adult-trauma/proximal-humerus/approach/safe-zones-in-the-proximal-humerus </w:t>
      </w:r>
      <w:r>
        <w:rPr>
          <w:i/>
          <w:color w:val="5A6469"/>
          <w:sz w:val="17"/>
        </w:rPr>
        <w:t xml:space="preserve">(web-oficial · acceso abierto) </w:t>
      </w:r>
      <w:hyperlink r:id="rId32">
        <w:r>
          <w:rPr>
            <w:color w:val="0563C1"/>
            <w:u w:val="single"/>
            <w:sz w:val="18"/>
          </w:rPr>
          <w:t xml:space="preserve">https://surgeryreference.aofoundation.org/orthopedic-trauma/adult-trauma/proximal-humerus/approach/safe-zones-in-the-proximal-humerus</w:t>
        </w:r>
      </w:hyperlink>
    </w:p>
    <w:p>
      <w:pPr>
        <w:spacing w:after="60"/>
        <w:ind w:left="510" w:hanging="510"/>
      </w:pPr>
      <w:r>
        <w:rPr>
          <w:b/>
          <w:sz w:val="18"/>
        </w:rPr>
        <w:t xml:space="preserve">[r40] </w:t>
      </w:r>
      <w:r>
        <w:rPr>
          <w:sz w:val="18"/>
        </w:rPr>
        <w:t xml:space="preserve">Loukas M, Grabska J, Tubbs RS, Apaydin N, Jordan R. Mapping the axillary nerve within the deltoid muscle. Surg Radiol Anat. 2009;31(1):43-7. doi:10.1007/s00276-008-0409-3 </w:t>
      </w:r>
      <w:r>
        <w:rPr>
          <w:i/>
          <w:color w:val="5A6469"/>
          <w:sz w:val="17"/>
        </w:rPr>
        <w:t xml:space="preserve">(serie · acceso resumen) </w:t>
      </w:r>
      <w:hyperlink r:id="rId34">
        <w:r>
          <w:rPr>
            <w:color w:val="0563C1"/>
            <w:u w:val="single"/>
            <w:sz w:val="18"/>
          </w:rPr>
          <w:t xml:space="preserve">https://doi.org/10.1007/s00276-008-0409-3</w:t>
        </w:r>
      </w:hyperlink>
    </w:p>
    <w:p>
      <w:pPr>
        <w:spacing w:after="60"/>
        <w:ind w:left="510" w:hanging="510"/>
      </w:pPr>
      <w:r>
        <w:rPr>
          <w:b/>
          <w:sz w:val="18"/>
        </w:rPr>
        <w:t xml:space="preserve">[r44] </w:t>
      </w:r>
      <w:r>
        <w:rPr>
          <w:sz w:val="18"/>
        </w:rPr>
        <w:t xml:space="preserve">Pant S, Bokor DJ, Low AK. Cerebral oxygenation using near-infrared spectroscopy in the beach-chair position during shoulder arthroscopy under general anesthesia. Arthroscopy. 2014;30(11):1520-7. doi:10.1016/j.arthro.2014.05.042 </w:t>
      </w:r>
      <w:r>
        <w:rPr>
          <w:i/>
          <w:color w:val="5A6469"/>
          <w:sz w:val="17"/>
        </w:rPr>
        <w:t xml:space="preserve">(RS-MA · acceso resumen) </w:t>
      </w:r>
      <w:hyperlink r:id="rId45">
        <w:r>
          <w:rPr>
            <w:color w:val="0563C1"/>
            <w:u w:val="single"/>
            <w:sz w:val="18"/>
          </w:rPr>
          <w:t xml:space="preserve">https://doi.org/10.1016/j.arthro.2014.05.042</w:t>
        </w:r>
      </w:hyperlink>
    </w:p>
    <w:p>
      <w:pPr>
        <w:spacing w:after="60"/>
        <w:ind w:left="510" w:hanging="510"/>
      </w:pPr>
      <w:r>
        <w:rPr>
          <w:b/>
          <w:sz w:val="18"/>
        </w:rPr>
        <w:t xml:space="preserve">[r49] </w:t>
      </w:r>
      <w:r>
        <w:rPr>
          <w:sz w:val="18"/>
        </w:rPr>
        <w:t xml:space="preserve">Ninck J, Heck S, Gick S, Koebke J, Pennig D, Dargel J. Versorgung von Humeruskopffrakturen [Treatment of proximal humerus fractures: relative position of different locking plates to the axillary nerve]. Unfallchirurg. 2013;116(11):1000-5. doi:10.1007/s00113-012-2242-8 </w:t>
      </w:r>
      <w:r>
        <w:rPr>
          <w:i/>
          <w:color w:val="5A6469"/>
          <w:sz w:val="17"/>
        </w:rPr>
        <w:t xml:space="preserve">(serie · acceso resumen) </w:t>
      </w:r>
      <w:hyperlink r:id="rId59">
        <w:r>
          <w:rPr>
            <w:color w:val="0563C1"/>
            <w:u w:val="single"/>
            <w:sz w:val="18"/>
          </w:rPr>
          <w:t xml:space="preserve">https://doi.org/10.1007/s00113-012-2242-8</w:t>
        </w:r>
      </w:hyperlink>
    </w:p>
    <w:p>
      <w:pPr>
        <w:pStyle w:val="Heading1"/>
      </w:pPr>
      <w:r>
        <w:t>Ventanas y ampliaciones del abordaje</w:t>
      </w:r>
    </w:p>
    <w:p>
      <w:pPr>
        <w:pStyle w:val="Heading2"/>
      </w:pPr>
      <w:r>
        <w:t>Cuatro formas de abrir más (o de abrir distinto)</w:t>
      </w:r>
    </w:p>
    <w:p>
      <w:pPr>
        <w:pStyle w:val="ListBullet"/>
      </w:pPr>
      <w:r>
        <w:rPr>
          <w:b/>
        </w:rPr>
        <w:t>Anterolateral por el rafe (MIPO).</w:t>
      </w:r>
      <w:r>
        <w:rPr/>
        <w:t xml:space="preserve"> En 20 hombros de cadáver, el nervio apareció siempre por debajo del rafe, a unos 35 mm del relieve de la tuberosidad mayor, y solo su tronco motor atravesaba el rafe; luego, en 16 pacientes, la vía no dio complicaciones propias [r17].</w:t>
      </w:r>
    </w:p>
    <w:p>
      <w:pPr>
        <w:pStyle w:val="ListBullet"/>
      </w:pPr>
      <w:r>
        <w:rPr>
          <w:b/>
        </w:rPr>
        <w:t>Incisión distal separada.</w:t>
      </w:r>
      <w:r>
        <w:rPr/>
        <w:t xml:space="preserve"> En una comparación de 43 pares, la incisión lateral llegó a 5 cm y los tornillos distales entraron por otra incisión de 2,5 a 3,5 cm a 7 cm del acromion [r28]. La AO usa incisiones de estoque por debajo de las líneas marcadas [r1].</w:t>
      </w:r>
    </w:p>
    <w:p>
      <w:pPr>
        <w:pStyle w:val="ListBullet"/>
      </w:pPr>
      <w:r>
        <w:rPr>
          <w:b/>
        </w:rPr>
        <w:t>Movilización del haz del axilar.</w:t>
      </w:r>
      <w:r>
        <w:rPr/>
        <w:t xml:space="preserve"> En 22 pacientes con MIPO por un deltoideo modificado, la consolidación fue en todos, en 8,6 semanas de media, sin déficit sensitivo del axilar ni parálisis del deltoides anterior [r32]. Es una serie sin grupo control.</w:t>
      </w:r>
    </w:p>
    <w:p>
      <w:pPr>
        <w:pStyle w:val="ListBullet"/>
      </w:pPr>
      <w:r>
        <w:rPr>
          <w:b/>
        </w:rPr>
        <w:t>L invertida.</w:t>
      </w:r>
      <w:r>
        <w:rPr/>
        <w:t xml:space="preserve"> En 11 cadáveres, partiendo del deltoideo y desinsertando el deltoides del acromion hacia atrás, el área de exposición fue de 2729,81 mm² frente a 1404,39 mm² del deltoideo simple y 1325,41 mm² del deltopectoral; el arco lateral al surco bicipital fue de 151,75° frente a 105,02° y 61,68° [r21]. Es la que mejor deja ver la parte posterior, a costa de despegar más partes blandas y de vigilar cuánto se tensa el axilar [r21].</w:t>
      </w:r>
    </w:p>
    <w:p>
      <w:pPr>
        <w:pStyle w:val="Heading2"/>
      </w:pPr>
      <w:r>
        <w:t>Lo que no hay</w:t>
      </w:r>
    </w:p>
    <w:p>
      <w:r>
        <w:rPr/>
        <w:t>No hay estudios comparativos clínicos entre estas variantes: lo que sigue son datos de cadáver y series cortas, así que la elección se apoya en tu entrenamiento y en el patrón de fractura (opinión experta).</w:t>
      </w:r>
    </w:p>
    <w:p>
      <w:pPr>
        <w:keepNext/>
      </w:pPr>
      <w:r>
        <w:rPr>
          <w:b/>
          <w:color w:val="0F5F6B"/>
          <w:sz w:val="20"/>
        </w:rPr>
        <w:t>Figura 5. Área de exposición del húmero proximal en cadáver</w:t>
      </w:r>
      <w:r>
        <w:rPr>
          <w:color w:val="5A6469"/>
          <w:sz w:val="18"/>
        </w:rPr>
        <w:t xml:space="preserve">  [r21]</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Transdeltoid lateral approach to the proximal humerus [Internet]. En: AO Surgery Reference. Davos: AO Foundation [consultado 2026 oct 12]. Disponible en: https://surgeryreference.aofoundation.org/orthopedic-trauma/adult-trauma/proximal-humerus/approach/transdeltoid-lateral-approach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https://surgeryreference.aofoundation.org/orthopedic-trauma/adult-trauma/proximal-humerus/approach/transdeltoid-lateral-approach</w:t>
        </w:r>
      </w:hyperlink>
    </w:p>
    <w:p>
      <w:pPr>
        <w:spacing w:after="60"/>
        <w:ind w:left="510" w:hanging="510"/>
      </w:pPr>
      <w:r>
        <w:rPr>
          <w:b/>
          <w:sz w:val="18"/>
        </w:rPr>
        <w:t xml:space="preserve">[r17] </w:t>
      </w:r>
      <w:r>
        <w:rPr>
          <w:sz w:val="18"/>
        </w:rPr>
        <w:t xml:space="preserve">Gardner MJ, Griffith MH, Dines JS, Briggs SM, Weiland AJ, Lorich DG. The extended anterolateral acromial approach allows minimally invasive access to the proximal humerus. Clin Orthop Relat Res. 2005;(434):123-9. doi:10.1097/01.blo.0000152872.95806.09 </w:t>
      </w:r>
      <w:r>
        <w:rPr>
          <w:i/>
          <w:color w:val="5A6469"/>
          <w:sz w:val="17"/>
        </w:rPr>
        <w:t xml:space="preserve">(serie · acceso resumen) </w:t>
      </w:r>
      <w:hyperlink r:id="rId53">
        <w:r>
          <w:rPr>
            <w:color w:val="0563C1"/>
            <w:u w:val="single"/>
            <w:sz w:val="18"/>
          </w:rPr>
          <w:t xml:space="preserve">https://doi.org/10.1097/01.blo.0000152872.95806.09</w:t>
        </w:r>
      </w:hyperlink>
    </w:p>
    <w:p>
      <w:pPr>
        <w:spacing w:after="60"/>
        <w:ind w:left="510" w:hanging="510"/>
      </w:pPr>
      <w:r>
        <w:rPr>
          <w:b/>
          <w:sz w:val="18"/>
        </w:rPr>
        <w:t xml:space="preserve">[r21] </w:t>
      </w:r>
      <w:r>
        <w:rPr>
          <w:sz w:val="18"/>
        </w:rPr>
        <w:t xml:space="preserve">Sirisreetreerux N, Pengrung N, Apivatthakakul T. Proximal humerus exposure with the inverted-L anterolateral deltoid flip approach, anterolateral deltoid splitting approach, and deltopectoral approach: A comparative cadaveric study. Injury. 2021;52(4):738-746. doi:10.1016/j.injury.2020.11.022 </w:t>
      </w:r>
      <w:r>
        <w:rPr>
          <w:i/>
          <w:color w:val="5A6469"/>
          <w:sz w:val="17"/>
        </w:rPr>
        <w:t xml:space="preserve">(serie · acceso resumen) </w:t>
      </w:r>
      <w:hyperlink r:id="rId13">
        <w:r>
          <w:rPr>
            <w:color w:val="0563C1"/>
            <w:u w:val="single"/>
            <w:sz w:val="18"/>
          </w:rPr>
          <w:t xml:space="preserve">https://doi.org/10.1016/j.injury.2020.11.022</w:t>
        </w:r>
      </w:hyperlink>
    </w:p>
    <w:p>
      <w:pPr>
        <w:spacing w:after="60"/>
        <w:ind w:left="510" w:hanging="510"/>
      </w:pPr>
      <w:r>
        <w:rPr>
          <w:b/>
          <w:sz w:val="18"/>
        </w:rPr>
        <w:t xml:space="preserve">[r28] </w:t>
      </w:r>
      <w:r>
        <w:rPr>
          <w:sz w:val="18"/>
        </w:rPr>
        <w:t xml:space="preserve">Lin T, Xiao B, Ma X, Fu D, Yang S. Minimally invasive plate osteosynthesis with a locking compression plate is superior to open reduction and internal fixation in the management of the proximal humerus fractures. BMC Musculoskelet Disord. 2014;15:206. doi:10.1186/1471-2474-15-206 </w:t>
      </w:r>
      <w:r>
        <w:rPr>
          <w:i/>
          <w:color w:val="5A6469"/>
          <w:sz w:val="17"/>
        </w:rPr>
        <w:t xml:space="preserve">(cohorte · acceso abierto) </w:t>
      </w:r>
      <w:hyperlink r:id="rId17">
        <w:r>
          <w:rPr>
            <w:color w:val="0563C1"/>
            <w:u w:val="single"/>
            <w:sz w:val="18"/>
          </w:rPr>
          <w:t xml:space="preserve">https://doi.org/10.1186/1471-2474-15-206</w:t>
        </w:r>
      </w:hyperlink>
    </w:p>
    <w:p>
      <w:pPr>
        <w:spacing w:after="60"/>
        <w:ind w:left="510" w:hanging="510"/>
      </w:pPr>
      <w:r>
        <w:rPr>
          <w:b/>
          <w:sz w:val="18"/>
        </w:rPr>
        <w:t xml:space="preserve">[r32] </w:t>
      </w:r>
      <w:r>
        <w:rPr>
          <w:sz w:val="18"/>
        </w:rPr>
        <w:t xml:space="preserve">Shin YH, Lee YH, Choi HS, Kim MB, Pyo SH, Baek GH. A modified deltoid splitting approach with axillary nerve bundle mobilization for proximal humeral fracture fixation. Injury. 2017;48(11):2569-2574. doi:10.1016/j.injury.2017.09.007 </w:t>
      </w:r>
      <w:r>
        <w:rPr>
          <w:i/>
          <w:color w:val="5A6469"/>
          <w:sz w:val="17"/>
        </w:rPr>
        <w:t xml:space="preserve">(serie · acceso resumen) </w:t>
      </w:r>
      <w:hyperlink r:id="rId21">
        <w:r>
          <w:rPr>
            <w:color w:val="0563C1"/>
            <w:u w:val="single"/>
            <w:sz w:val="18"/>
          </w:rPr>
          <w:t xml:space="preserve">https://doi.org/10.1016/j.injury.2017.09.007</w:t>
        </w:r>
      </w:hyperlink>
    </w:p>
    <w:p>
      <w:pPr>
        <w:pStyle w:val="Heading1"/>
      </w:pPr>
      <w:r>
        <w:t>Comparación con el deltopectoral</w:t>
      </w:r>
    </w:p>
    <w:p>
      <w:pPr>
        <w:pStyle w:val="Heading2"/>
      </w:pPr>
      <w:r>
        <w:t>Lo que muestran los ensayos</w:t>
      </w:r>
    </w:p>
    <w:p>
      <w:r>
        <w:rPr/>
        <w:t>Los dos ensayos aleatorizados llegaron a conclusiones distintas. Buecking aleatorizó a 120 pacientes con placa poliaxial: las revisiones fueron 14 % con deltoideo y 13 % con deltopectoral, y el Constant a 12 meses fue de 81 y 73 (p 0,13); además, el poder estadístico quedó en 68 % por pérdidas [r4]. Rouleau aleatorizó a 85 pacientes con Neer II y III y encontró mejor Q-DASH con el deltopectoral (12 frente a 26; P 0,003) a 26 meses de seguimiento medio, con más complicaciones en el deltoideo que no alcanzaron significancia [r5]. Rouleau excluyó a quienes tenían el axilar alterado, y su hipótesis de superioridad del deltoideo fue refutada [r5].</w:t>
      </w:r>
    </w:p>
    <w:p>
      <w:pPr>
        <w:pStyle w:val="Heading2"/>
      </w:pPr>
      <w:r>
        <w:t>Lo que muestran los metaanálisis</w:t>
      </w:r>
    </w:p>
    <w:p>
      <w:r>
        <w:rPr/>
        <w:t>Un metaanálisis de 14 estudios halló menos tiempo quirúrgico con el deltoideo (-16,44 min; IC 95 %, -25,25 a -7,63), menos sangrado (-57,99 ml) y menos tiempo a la unión (-1,66 semanas) [r6]. El Constant a 3 meses fue mejor con el deltoideo (diferencia 6,36), pero no a 12 y 24 meses [r6]. En complicaciones no hubo diferencia (necrosis avascular RR 0,88; infección RR 0,58) [r6].</w:t>
      </w:r>
    </w:p>
    <w:p>
      <w:pPr>
        <w:pStyle w:val="Heading2"/>
      </w:pPr>
      <w:r>
        <w:t>Dónde discrepan las fuentes</w:t>
      </w:r>
    </w:p>
    <w:p>
      <w:pPr>
        <w:pStyle w:val="ListBullet"/>
      </w:pPr>
      <w:r>
        <w:rPr/>
        <w:t>Necrosis avascular: Xie halló menos con el deltoideo en 3 ECA y 3 estudios prospectivos [r29]; Wu, con 14 estudios, RR 0,88 sin significancia [r6]; y en el análisis por Neer de 798 pacientes la cifra fue de 4,8 % con deltoideo frente a 2,5 % con deltopectoral, sin significancia (p 0,07) [r8].</w:t>
      </w:r>
    </w:p>
    <w:p>
      <w:pPr>
        <w:pStyle w:val="ListBullet"/>
      </w:pPr>
      <w:r>
        <w:rPr/>
        <w:t>Lesión del axilar: Li halló OR 4,88 (IC 95 %, 1,03 a 23,25) para MIPO frente a ORIF en 4 estudios con 305 pacientes [r7]; la revisión de 798 pacientes registró 1 lesión del axilar con deltoideo y 3 con deltopectoral [r8], y los estudios de Wu que la reportaron no hallaron ninguna en ningún grupo [r6].</w:t>
      </w:r>
    </w:p>
    <w:p>
      <w:pPr>
        <w:pStyle w:val="ListBullet"/>
      </w:pPr>
      <w:r>
        <w:rPr/>
        <w:t>Función: Rouleau y Borer favorecieron al deltopectoral en algún desenlace [r5][r14]; Bhayana no halló diferencia (Constant relativo 73,26 frente a 74,27) [r25].</w:t>
      </w:r>
    </w:p>
    <w:p>
      <w:pPr>
        <w:pStyle w:val="Heading2"/>
      </w:pPr>
      <w:r>
        <w:t>Cómo leerlo</w:t>
      </w:r>
    </w:p>
    <w:p>
      <w:r>
        <w:rPr/>
        <w:t>En los metaanálisis, el tiempo quirúrgico y el sangrado favorecen al deltoideo y la función a 12 meses fue equivalente en la mayoría de las comparaciones [r6][r8]; el nervio y el aflojamiento de tornillos parecen los puntos débiles de la vía lateral (lectura propia a partir de las cifras de la tabla, no una conclusión de los autores).</w:t>
      </w:r>
    </w:p>
    <w:p>
      <w:pPr>
        <w:keepNext/>
      </w:pPr>
      <w:r>
        <w:rPr>
          <w:b/>
          <w:color w:val="0F5F6B"/>
          <w:sz w:val="20"/>
        </w:rPr>
        <w:t>Tabla 7. Deltopectoral frente a deltoideo/MIPO en 11 estudios y 798 pacientes</w:t>
      </w:r>
      <w:r>
        <w:rPr>
          <w:color w:val="5A6469"/>
          <w:sz w:val="18"/>
        </w:rPr>
        <w:t xml:space="preserve">  [r8]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Desenlace</w:t>
            </w:r>
          </w:p>
        </w:tc>
        <w:tc>
          <w:tcPr>
            <w:tcW w:type="dxa" w:w="2353"/>
            <w:shd w:val="clear" w:color="auto" w:fill="0F5F6B"/>
          </w:tcPr>
          <w:p>
            <w:r/>
            <w:r>
              <w:rPr>
                <w:b/>
                <w:color w:val="FFFFFF"/>
                <w:sz w:val="20"/>
              </w:rPr>
              <w:t>Deltopectoral (n 447)</w:t>
            </w:r>
          </w:p>
        </w:tc>
        <w:tc>
          <w:tcPr>
            <w:tcW w:type="dxa" w:w="2353"/>
            <w:shd w:val="clear" w:color="auto" w:fill="0F5F6B"/>
          </w:tcPr>
          <w:p>
            <w:r/>
            <w:r>
              <w:rPr>
                <w:b/>
                <w:color w:val="FFFFFF"/>
                <w:sz w:val="20"/>
              </w:rPr>
              <w:t>Deltoideo o MIPO (n 351)</w:t>
            </w:r>
          </w:p>
        </w:tc>
        <w:tc>
          <w:tcPr>
            <w:tcW w:type="dxa" w:w="2353"/>
            <w:shd w:val="clear" w:color="auto" w:fill="0F5F6B"/>
          </w:tcPr>
          <w:p>
            <w:r/>
            <w:r>
              <w:rPr>
                <w:b/>
                <w:color w:val="FFFFFF"/>
                <w:sz w:val="20"/>
              </w:rPr>
              <w:t>Fuente</w:t>
            </w:r>
          </w:p>
        </w:tc>
      </w:tr>
      <w:tr>
        <w:tc>
          <w:tcPr>
            <w:tcW w:type="dxa" w:w="2353"/>
          </w:tcPr>
          <w:p>
            <w:r/>
            <w:r>
              <w:rPr>
                <w:sz w:val="20"/>
              </w:rPr>
              <w:t>Necrosis avascular</w:t>
            </w:r>
          </w:p>
        </w:tc>
        <w:tc>
          <w:tcPr>
            <w:tcW w:type="dxa" w:w="2353"/>
          </w:tcPr>
          <w:p>
            <w:r/>
            <w:r>
              <w:rPr>
                <w:sz w:val="20"/>
              </w:rPr>
              <w:t>11 (2,5 %)</w:t>
            </w:r>
          </w:p>
        </w:tc>
        <w:tc>
          <w:tcPr>
            <w:tcW w:type="dxa" w:w="2353"/>
          </w:tcPr>
          <w:p>
            <w:r/>
            <w:r>
              <w:rPr>
                <w:sz w:val="20"/>
              </w:rPr>
              <w:t>17 (4,8 %)</w:t>
            </w:r>
          </w:p>
        </w:tc>
        <w:tc>
          <w:tcPr>
            <w:tcW w:type="dxa" w:w="2353"/>
          </w:tcPr>
          <w:p>
            <w:r/>
            <w:r>
              <w:rPr>
                <w:sz w:val="20"/>
              </w:rPr>
              <w:t>[r8]</w:t>
            </w:r>
          </w:p>
        </w:tc>
      </w:tr>
      <w:tr>
        <w:tc>
          <w:tcPr>
            <w:tcW w:type="dxa" w:w="2353"/>
            <w:shd w:val="clear" w:color="auto" w:fill="EEF3F4"/>
          </w:tcPr>
          <w:p>
            <w:r/>
            <w:r>
              <w:rPr>
                <w:sz w:val="20"/>
              </w:rPr>
              <w:t>Pinzamiento subacromial</w:t>
            </w:r>
          </w:p>
        </w:tc>
        <w:tc>
          <w:tcPr>
            <w:tcW w:type="dxa" w:w="2353"/>
            <w:shd w:val="clear" w:color="auto" w:fill="EEF3F4"/>
          </w:tcPr>
          <w:p>
            <w:r/>
            <w:r>
              <w:rPr>
                <w:sz w:val="20"/>
              </w:rPr>
              <w:t>12 (2,7 %)</w:t>
            </w:r>
          </w:p>
        </w:tc>
        <w:tc>
          <w:tcPr>
            <w:tcW w:type="dxa" w:w="2353"/>
            <w:shd w:val="clear" w:color="auto" w:fill="EEF3F4"/>
          </w:tcPr>
          <w:p>
            <w:r/>
            <w:r>
              <w:rPr>
                <w:sz w:val="20"/>
              </w:rPr>
              <w:t>15 (4,3 %)</w:t>
            </w:r>
          </w:p>
        </w:tc>
        <w:tc>
          <w:tcPr>
            <w:tcW w:type="dxa" w:w="2353"/>
            <w:shd w:val="clear" w:color="auto" w:fill="EEF3F4"/>
          </w:tcPr>
          <w:p>
            <w:r/>
            <w:r>
              <w:rPr>
                <w:sz w:val="20"/>
              </w:rPr>
              <w:t>[r8]</w:t>
            </w:r>
          </w:p>
        </w:tc>
      </w:tr>
      <w:tr>
        <w:tc>
          <w:tcPr>
            <w:tcW w:type="dxa" w:w="2353"/>
          </w:tcPr>
          <w:p>
            <w:r/>
            <w:r>
              <w:rPr>
                <w:sz w:val="20"/>
              </w:rPr>
              <w:t>Aflojamiento o migración de tornillos</w:t>
            </w:r>
          </w:p>
        </w:tc>
        <w:tc>
          <w:tcPr>
            <w:tcW w:type="dxa" w:w="2353"/>
          </w:tcPr>
          <w:p>
            <w:r/>
            <w:r>
              <w:rPr>
                <w:sz w:val="20"/>
              </w:rPr>
              <w:t>25 (5,6 %)</w:t>
            </w:r>
          </w:p>
        </w:tc>
        <w:tc>
          <w:tcPr>
            <w:tcW w:type="dxa" w:w="2353"/>
          </w:tcPr>
          <w:p>
            <w:r/>
            <w:r>
              <w:rPr>
                <w:sz w:val="20"/>
              </w:rPr>
              <w:t>36 (10,3 %), p 0,01</w:t>
            </w:r>
          </w:p>
        </w:tc>
        <w:tc>
          <w:tcPr>
            <w:tcW w:type="dxa" w:w="2353"/>
          </w:tcPr>
          <w:p>
            <w:r/>
            <w:r>
              <w:rPr>
                <w:sz w:val="20"/>
              </w:rPr>
              <w:t>[r8]</w:t>
            </w:r>
          </w:p>
        </w:tc>
      </w:tr>
      <w:tr>
        <w:tc>
          <w:tcPr>
            <w:tcW w:type="dxa" w:w="2353"/>
            <w:shd w:val="clear" w:color="auto" w:fill="EEF3F4"/>
          </w:tcPr>
          <w:p>
            <w:r/>
            <w:r>
              <w:rPr>
                <w:sz w:val="20"/>
              </w:rPr>
              <w:t>Infección</w:t>
            </w:r>
          </w:p>
        </w:tc>
        <w:tc>
          <w:tcPr>
            <w:tcW w:type="dxa" w:w="2353"/>
            <w:shd w:val="clear" w:color="auto" w:fill="EEF3F4"/>
          </w:tcPr>
          <w:p>
            <w:r/>
            <w:r>
              <w:rPr>
                <w:sz w:val="20"/>
              </w:rPr>
              <w:t>12 (2,7 %)</w:t>
            </w:r>
          </w:p>
        </w:tc>
        <w:tc>
          <w:tcPr>
            <w:tcW w:type="dxa" w:w="2353"/>
            <w:shd w:val="clear" w:color="auto" w:fill="EEF3F4"/>
          </w:tcPr>
          <w:p>
            <w:r/>
            <w:r>
              <w:rPr>
                <w:sz w:val="20"/>
              </w:rPr>
              <w:t>4 (1,1 %)</w:t>
            </w:r>
          </w:p>
        </w:tc>
        <w:tc>
          <w:tcPr>
            <w:tcW w:type="dxa" w:w="2353"/>
            <w:shd w:val="clear" w:color="auto" w:fill="EEF3F4"/>
          </w:tcPr>
          <w:p>
            <w:r/>
            <w:r>
              <w:rPr>
                <w:sz w:val="20"/>
              </w:rPr>
              <w:t>[r8]</w:t>
            </w:r>
          </w:p>
        </w:tc>
      </w:tr>
      <w:tr>
        <w:tc>
          <w:tcPr>
            <w:tcW w:type="dxa" w:w="2353"/>
          </w:tcPr>
          <w:p>
            <w:r/>
            <w:r>
              <w:rPr>
                <w:sz w:val="20"/>
              </w:rPr>
              <w:t>Pseudoartrosis</w:t>
            </w:r>
          </w:p>
        </w:tc>
        <w:tc>
          <w:tcPr>
            <w:tcW w:type="dxa" w:w="2353"/>
          </w:tcPr>
          <w:p>
            <w:r/>
            <w:r>
              <w:rPr>
                <w:sz w:val="20"/>
              </w:rPr>
              <w:t>29 (6,5 %)</w:t>
            </w:r>
          </w:p>
        </w:tc>
        <w:tc>
          <w:tcPr>
            <w:tcW w:type="dxa" w:w="2353"/>
          </w:tcPr>
          <w:p>
            <w:r/>
            <w:r>
              <w:rPr>
                <w:sz w:val="20"/>
              </w:rPr>
              <w:t>5 (1,4 %), p 0,0004</w:t>
            </w:r>
          </w:p>
        </w:tc>
        <w:tc>
          <w:tcPr>
            <w:tcW w:type="dxa" w:w="2353"/>
          </w:tcPr>
          <w:p>
            <w:r/>
            <w:r>
              <w:rPr>
                <w:sz w:val="20"/>
              </w:rPr>
              <w:t>[r8]</w:t>
            </w:r>
          </w:p>
        </w:tc>
      </w:tr>
      <w:tr>
        <w:tc>
          <w:tcPr>
            <w:tcW w:type="dxa" w:w="2353"/>
            <w:shd w:val="clear" w:color="auto" w:fill="EEF3F4"/>
          </w:tcPr>
          <w:p>
            <w:r/>
            <w:r>
              <w:rPr>
                <w:sz w:val="20"/>
              </w:rPr>
              <w:t>Lesión del nervio axilar</w:t>
            </w:r>
          </w:p>
        </w:tc>
        <w:tc>
          <w:tcPr>
            <w:tcW w:type="dxa" w:w="2353"/>
            <w:shd w:val="clear" w:color="auto" w:fill="EEF3F4"/>
          </w:tcPr>
          <w:p>
            <w:r/>
            <w:r>
              <w:rPr>
                <w:sz w:val="20"/>
              </w:rPr>
              <w:t>3 (0,7 %)</w:t>
            </w:r>
          </w:p>
        </w:tc>
        <w:tc>
          <w:tcPr>
            <w:tcW w:type="dxa" w:w="2353"/>
            <w:shd w:val="clear" w:color="auto" w:fill="EEF3F4"/>
          </w:tcPr>
          <w:p>
            <w:r/>
            <w:r>
              <w:rPr>
                <w:sz w:val="20"/>
              </w:rPr>
              <w:t>1 (0,3 %)</w:t>
            </w:r>
          </w:p>
        </w:tc>
        <w:tc>
          <w:tcPr>
            <w:tcW w:type="dxa" w:w="2353"/>
            <w:shd w:val="clear" w:color="auto" w:fill="EEF3F4"/>
          </w:tcPr>
          <w:p>
            <w:r/>
            <w:r>
              <w:rPr>
                <w:sz w:val="20"/>
              </w:rPr>
              <w:t>[r8]</w:t>
            </w:r>
          </w:p>
        </w:tc>
      </w:tr>
      <w:tr>
        <w:tc>
          <w:tcPr>
            <w:tcW w:type="dxa" w:w="2353"/>
          </w:tcPr>
          <w:p>
            <w:r/>
            <w:r>
              <w:rPr>
                <w:sz w:val="20"/>
              </w:rPr>
              <w:t>Complicaciones totales</w:t>
            </w:r>
          </w:p>
        </w:tc>
        <w:tc>
          <w:tcPr>
            <w:tcW w:type="dxa" w:w="2353"/>
          </w:tcPr>
          <w:p>
            <w:r/>
            <w:r>
              <w:rPr>
                <w:sz w:val="20"/>
              </w:rPr>
              <w:t>121 (28,4 %)</w:t>
            </w:r>
          </w:p>
        </w:tc>
        <w:tc>
          <w:tcPr>
            <w:tcW w:type="dxa" w:w="2353"/>
          </w:tcPr>
          <w:p>
            <w:r/>
            <w:r>
              <w:rPr>
                <w:sz w:val="20"/>
              </w:rPr>
              <w:t>105 (29,9 %)</w:t>
            </w:r>
          </w:p>
        </w:tc>
        <w:tc>
          <w:tcPr>
            <w:tcW w:type="dxa" w:w="2353"/>
          </w:tcPr>
          <w:p>
            <w:r/>
            <w:r>
              <w:rPr>
                <w:sz w:val="20"/>
              </w:rPr>
              <w:t>[r8]</w:t>
            </w:r>
          </w:p>
        </w:tc>
      </w:tr>
      <w:tr>
        <w:tc>
          <w:tcPr>
            <w:tcW w:type="dxa" w:w="2353"/>
            <w:shd w:val="clear" w:color="auto" w:fill="EEF3F4"/>
          </w:tcPr>
          <w:p>
            <w:r/>
            <w:r>
              <w:rPr>
                <w:sz w:val="20"/>
              </w:rPr>
              <w:t>Reintervenciones</w:t>
            </w:r>
          </w:p>
        </w:tc>
        <w:tc>
          <w:tcPr>
            <w:tcW w:type="dxa" w:w="2353"/>
            <w:shd w:val="clear" w:color="auto" w:fill="EEF3F4"/>
          </w:tcPr>
          <w:p>
            <w:r/>
            <w:r>
              <w:rPr>
                <w:sz w:val="20"/>
              </w:rPr>
              <w:t>43 (9,6 %)</w:t>
            </w:r>
          </w:p>
        </w:tc>
        <w:tc>
          <w:tcPr>
            <w:tcW w:type="dxa" w:w="2353"/>
            <w:shd w:val="clear" w:color="auto" w:fill="EEF3F4"/>
          </w:tcPr>
          <w:p>
            <w:r/>
            <w:r>
              <w:rPr>
                <w:sz w:val="20"/>
              </w:rPr>
              <w:t>49 (13,9 %)</w:t>
            </w:r>
          </w:p>
        </w:tc>
        <w:tc>
          <w:tcPr>
            <w:tcW w:type="dxa" w:w="2353"/>
            <w:shd w:val="clear" w:color="auto" w:fill="EEF3F4"/>
          </w:tcPr>
          <w:p>
            <w:r/>
            <w:r>
              <w:rPr>
                <w:sz w:val="20"/>
              </w:rPr>
              <w:t>[r8]</w:t>
            </w:r>
          </w:p>
        </w:tc>
      </w:tr>
    </w:tbl>
    <w:p/>
    <w:p>
      <w:pPr>
        <w:keepNext/>
      </w:pPr>
      <w:r>
        <w:rPr>
          <w:b/>
          <w:color w:val="0F5F6B"/>
          <w:sz w:val="20"/>
        </w:rPr>
        <w:t>Tabla 8. Ensayos y estudios comparativos clave</w:t>
      </w:r>
      <w:r>
        <w:rPr>
          <w:color w:val="5A6469"/>
          <w:sz w:val="18"/>
        </w:rPr>
        <w:t xml:space="preserve">  [r25] [r14] [r4] [r28] [r5]</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Estudio</w:t>
            </w:r>
          </w:p>
        </w:tc>
        <w:tc>
          <w:tcPr>
            <w:tcW w:type="dxa" w:w="1882"/>
            <w:shd w:val="clear" w:color="auto" w:fill="0F5F6B"/>
          </w:tcPr>
          <w:p>
            <w:r/>
            <w:r>
              <w:rPr>
                <w:b/>
                <w:color w:val="FFFFFF"/>
                <w:sz w:val="20"/>
              </w:rPr>
              <w:t>Diseño y n</w:t>
            </w:r>
          </w:p>
        </w:tc>
        <w:tc>
          <w:tcPr>
            <w:tcW w:type="dxa" w:w="1882"/>
            <w:shd w:val="clear" w:color="auto" w:fill="0F5F6B"/>
          </w:tcPr>
          <w:p>
            <w:r/>
            <w:r>
              <w:rPr>
                <w:b/>
                <w:color w:val="FFFFFF"/>
                <w:sz w:val="20"/>
              </w:rPr>
              <w:t>Resultado funcional</w:t>
            </w:r>
          </w:p>
        </w:tc>
        <w:tc>
          <w:tcPr>
            <w:tcW w:type="dxa" w:w="1882"/>
            <w:shd w:val="clear" w:color="auto" w:fill="0F5F6B"/>
          </w:tcPr>
          <w:p>
            <w:r/>
            <w:r>
              <w:rPr>
                <w:b/>
                <w:color w:val="FFFFFF"/>
                <w:sz w:val="20"/>
              </w:rPr>
              <w:t>Otros hallazgos</w:t>
            </w:r>
          </w:p>
        </w:tc>
        <w:tc>
          <w:tcPr>
            <w:tcW w:type="dxa" w:w="1882"/>
            <w:shd w:val="clear" w:color="auto" w:fill="0F5F6B"/>
          </w:tcPr>
          <w:p>
            <w:r/>
            <w:r>
              <w:rPr>
                <w:b/>
                <w:color w:val="FFFFFF"/>
                <w:sz w:val="20"/>
              </w:rPr>
              <w:t>Fuente</w:t>
            </w:r>
          </w:p>
        </w:tc>
      </w:tr>
      <w:tr>
        <w:tc>
          <w:tcPr>
            <w:tcW w:type="dxa" w:w="1882"/>
          </w:tcPr>
          <w:p>
            <w:r/>
            <w:r>
              <w:rPr>
                <w:sz w:val="20"/>
              </w:rPr>
              <w:t>Buecking</w:t>
            </w:r>
          </w:p>
        </w:tc>
        <w:tc>
          <w:tcPr>
            <w:tcW w:type="dxa" w:w="1882"/>
          </w:tcPr>
          <w:p>
            <w:r/>
            <w:r>
              <w:rPr>
                <w:sz w:val="20"/>
              </w:rPr>
              <w:t>ECA, 120</w:t>
            </w:r>
          </w:p>
        </w:tc>
        <w:tc>
          <w:tcPr>
            <w:tcW w:type="dxa" w:w="1882"/>
          </w:tcPr>
          <w:p>
            <w:r/>
            <w:r>
              <w:rPr>
                <w:sz w:val="20"/>
              </w:rPr>
              <w:t>Constant a 12 meses: 81 (deltoideo) y 73 (deltopectoral), p 0,13</w:t>
            </w:r>
          </w:p>
        </w:tc>
        <w:tc>
          <w:tcPr>
            <w:tcW w:type="dxa" w:w="1882"/>
          </w:tcPr>
          <w:p>
            <w:r/>
            <w:r>
              <w:rPr>
                <w:sz w:val="20"/>
              </w:rPr>
              <w:t>Revisión quirúrgica en 14 % y 13 %</w:t>
            </w:r>
          </w:p>
        </w:tc>
        <w:tc>
          <w:tcPr>
            <w:tcW w:type="dxa" w:w="1882"/>
          </w:tcPr>
          <w:p>
            <w:r/>
            <w:r>
              <w:rPr>
                <w:sz w:val="20"/>
              </w:rPr>
              <w:t>[r4]</w:t>
            </w:r>
          </w:p>
        </w:tc>
      </w:tr>
      <w:tr>
        <w:tc>
          <w:tcPr>
            <w:tcW w:type="dxa" w:w="1882"/>
            <w:shd w:val="clear" w:color="auto" w:fill="EEF3F4"/>
          </w:tcPr>
          <w:p>
            <w:r/>
            <w:r>
              <w:rPr>
                <w:sz w:val="20"/>
              </w:rPr>
              <w:t>Rouleau (HURA)</w:t>
            </w:r>
          </w:p>
        </w:tc>
        <w:tc>
          <w:tcPr>
            <w:tcW w:type="dxa" w:w="1882"/>
            <w:shd w:val="clear" w:color="auto" w:fill="EEF3F4"/>
          </w:tcPr>
          <w:p>
            <w:r/>
            <w:r>
              <w:rPr>
                <w:sz w:val="20"/>
              </w:rPr>
              <w:t>ECA, 85</w:t>
            </w:r>
          </w:p>
        </w:tc>
        <w:tc>
          <w:tcPr>
            <w:tcW w:type="dxa" w:w="1882"/>
            <w:shd w:val="clear" w:color="auto" w:fill="EEF3F4"/>
          </w:tcPr>
          <w:p>
            <w:r/>
            <w:r>
              <w:rPr>
                <w:sz w:val="20"/>
              </w:rPr>
              <w:t>Q-DASH 26 (deltoideo) y 12 (deltopectoral), P 0,003</w:t>
            </w:r>
          </w:p>
        </w:tc>
        <w:tc>
          <w:tcPr>
            <w:tcW w:type="dxa" w:w="1882"/>
            <w:shd w:val="clear" w:color="auto" w:fill="EEF3F4"/>
          </w:tcPr>
          <w:p>
            <w:r/>
            <w:r>
              <w:rPr>
                <w:sz w:val="20"/>
              </w:rPr>
              <w:t>Más complicaciones con deltoideo, no significativas</w:t>
            </w:r>
          </w:p>
        </w:tc>
        <w:tc>
          <w:tcPr>
            <w:tcW w:type="dxa" w:w="1882"/>
            <w:shd w:val="clear" w:color="auto" w:fill="EEF3F4"/>
          </w:tcPr>
          <w:p>
            <w:r/>
            <w:r>
              <w:rPr>
                <w:sz w:val="20"/>
              </w:rPr>
              <w:t>[r5]</w:t>
            </w:r>
          </w:p>
        </w:tc>
      </w:tr>
      <w:tr>
        <w:tc>
          <w:tcPr>
            <w:tcW w:type="dxa" w:w="1882"/>
          </w:tcPr>
          <w:p>
            <w:r/>
            <w:r>
              <w:rPr>
                <w:sz w:val="20"/>
              </w:rPr>
              <w:t>Bhayana</w:t>
            </w:r>
          </w:p>
        </w:tc>
        <w:tc>
          <w:tcPr>
            <w:tcW w:type="dxa" w:w="1882"/>
          </w:tcPr>
          <w:p>
            <w:r/>
            <w:r>
              <w:rPr>
                <w:sz w:val="20"/>
              </w:rPr>
              <w:t>Asignación alterna, 84 (3 y 4 partes)</w:t>
            </w:r>
          </w:p>
        </w:tc>
        <w:tc>
          <w:tcPr>
            <w:tcW w:type="dxa" w:w="1882"/>
          </w:tcPr>
          <w:p>
            <w:r/>
            <w:r>
              <w:rPr>
                <w:sz w:val="20"/>
              </w:rPr>
              <w:t>Constant relativo 73,26 (DS) y 74,27 (DP)</w:t>
            </w:r>
          </w:p>
        </w:tc>
        <w:tc>
          <w:tcPr>
            <w:tcW w:type="dxa" w:w="1882"/>
          </w:tcPr>
          <w:p>
            <w:r/>
            <w:r>
              <w:rPr>
                <w:sz w:val="20"/>
              </w:rPr>
              <w:t>Cirugía de 65 min frente a 92 min</w:t>
            </w:r>
          </w:p>
        </w:tc>
        <w:tc>
          <w:tcPr>
            <w:tcW w:type="dxa" w:w="1882"/>
          </w:tcPr>
          <w:p>
            <w:r/>
            <w:r>
              <w:rPr>
                <w:sz w:val="20"/>
              </w:rPr>
              <w:t>[r25]</w:t>
            </w:r>
          </w:p>
        </w:tc>
      </w:tr>
      <w:tr>
        <w:tc>
          <w:tcPr>
            <w:tcW w:type="dxa" w:w="1882"/>
            <w:shd w:val="clear" w:color="auto" w:fill="EEF3F4"/>
          </w:tcPr>
          <w:p>
            <w:r/>
            <w:r>
              <w:rPr>
                <w:sz w:val="20"/>
              </w:rPr>
              <w:t>Borer</w:t>
            </w:r>
          </w:p>
        </w:tc>
        <w:tc>
          <w:tcPr>
            <w:tcW w:type="dxa" w:w="1882"/>
            <w:shd w:val="clear" w:color="auto" w:fill="EEF3F4"/>
          </w:tcPr>
          <w:p>
            <w:r/>
            <w:r>
              <w:rPr>
                <w:sz w:val="20"/>
              </w:rPr>
              <w:t>Cohorte, 62</w:t>
            </w:r>
          </w:p>
        </w:tc>
        <w:tc>
          <w:tcPr>
            <w:tcW w:type="dxa" w:w="1882"/>
            <w:shd w:val="clear" w:color="auto" w:fill="EEF3F4"/>
          </w:tcPr>
          <w:p>
            <w:r/>
            <w:r>
              <w:rPr>
                <w:sz w:val="20"/>
              </w:rPr>
              <w:t>Constant mediano 79 (MIDS) y 82 (DP), p 0,17</w:t>
            </w:r>
          </w:p>
        </w:tc>
        <w:tc>
          <w:tcPr>
            <w:tcW w:type="dxa" w:w="1882"/>
            <w:shd w:val="clear" w:color="auto" w:fill="EEF3F4"/>
          </w:tcPr>
          <w:p>
            <w:r/>
            <w:r>
              <w:rPr>
                <w:sz w:val="20"/>
              </w:rPr>
              <w:t>Menor fuerza con MIDS; en 4 partes, Constant menor</w:t>
            </w:r>
          </w:p>
        </w:tc>
        <w:tc>
          <w:tcPr>
            <w:tcW w:type="dxa" w:w="1882"/>
            <w:shd w:val="clear" w:color="auto" w:fill="EEF3F4"/>
          </w:tcPr>
          <w:p>
            <w:r/>
            <w:r>
              <w:rPr>
                <w:sz w:val="20"/>
              </w:rPr>
              <w:t>[r14]</w:t>
            </w:r>
          </w:p>
        </w:tc>
      </w:tr>
      <w:tr>
        <w:tc>
          <w:tcPr>
            <w:tcW w:type="dxa" w:w="1882"/>
          </w:tcPr>
          <w:p>
            <w:r/>
            <w:r>
              <w:rPr>
                <w:sz w:val="20"/>
              </w:rPr>
              <w:t>Lin</w:t>
            </w:r>
          </w:p>
        </w:tc>
        <w:tc>
          <w:tcPr>
            <w:tcW w:type="dxa" w:w="1882"/>
          </w:tcPr>
          <w:p>
            <w:r/>
            <w:r>
              <w:rPr>
                <w:sz w:val="20"/>
              </w:rPr>
              <w:t>Pares, 43</w:t>
            </w:r>
          </w:p>
        </w:tc>
        <w:tc>
          <w:tcPr>
            <w:tcW w:type="dxa" w:w="1882"/>
          </w:tcPr>
          <w:p>
            <w:r/>
            <w:r>
              <w:rPr>
                <w:sz w:val="20"/>
              </w:rPr>
              <w:t>Mejor función a 3 y 6 meses con MIPO</w:t>
            </w:r>
          </w:p>
        </w:tc>
        <w:tc>
          <w:tcPr>
            <w:tcW w:type="dxa" w:w="1882"/>
          </w:tcPr>
          <w:p>
            <w:r/>
            <w:r>
              <w:rPr>
                <w:sz w:val="20"/>
              </w:rPr>
              <w:t>Complicaciones 11,6 % (MIPO) y 9,3 % (ORIF)</w:t>
            </w:r>
          </w:p>
        </w:tc>
        <w:tc>
          <w:tcPr>
            <w:tcW w:type="dxa" w:w="1882"/>
          </w:tcPr>
          <w:p>
            <w:r/>
            <w:r>
              <w:rPr>
                <w:sz w:val="20"/>
              </w:rPr>
              <w:t>[r28]</w:t>
            </w:r>
          </w:p>
        </w:tc>
      </w:tr>
    </w:tbl>
    <w:p/>
    <w:p>
      <w:pPr>
        <w:keepNext/>
      </w:pPr>
      <w:r>
        <w:rPr>
          <w:b/>
          <w:color w:val="0F5F6B"/>
          <w:sz w:val="20"/>
        </w:rPr>
        <w:t>Figura 6. Complicaciones: deltopectoral y deltoideo (MIPO) en 798 pacientes</w:t>
      </w:r>
      <w:r>
        <w:rPr>
          <w:color w:val="5A6469"/>
          <w:sz w:val="18"/>
        </w:rPr>
        <w:t xml:space="preserve">  [r8]</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Buecking B, Mohr J, Bockmann B, Zettl R, Ruchholtz S. Deltoid-split or deltopectoral approaches for the treatment of displaced proximal humeral fractures? Clin Orthop Relat Res. 2014;472(5):1576-85. doi:10.1007/s11999-013-3415-7 </w:t>
      </w:r>
      <w:r>
        <w:rPr>
          <w:i/>
          <w:color w:val="5A6469"/>
          <w:sz w:val="17"/>
        </w:rPr>
        <w:t xml:space="preserve">(ECA · acceso resumen) </w:t>
      </w:r>
      <w:hyperlink r:id="rId62">
        <w:r>
          <w:rPr>
            <w:color w:val="0563C1"/>
            <w:u w:val="single"/>
            <w:sz w:val="18"/>
          </w:rPr>
          <w:t xml:space="preserve">https://doi.org/10.1007/s11999-013-3415-7</w:t>
        </w:r>
      </w:hyperlink>
    </w:p>
    <w:p>
      <w:pPr>
        <w:spacing w:after="60"/>
        <w:ind w:left="510" w:hanging="510"/>
      </w:pPr>
      <w:r>
        <w:rPr>
          <w:b/>
          <w:sz w:val="18"/>
        </w:rPr>
        <w:t xml:space="preserve">[r5] </w:t>
      </w:r>
      <w:r>
        <w:rPr>
          <w:sz w:val="18"/>
        </w:rPr>
        <w:t xml:space="preserve">Rouleau DM, Balg F, Benoit B, Leduc S, Malo M, Vézina F, et al. Deltopectoral vs. deltoid split approach for proximal HUmerus fracture fixation with locking plate: a prospective RAndomized study (HURA). J Shoulder Elbow Surg. 2020;29(11):2190-2199. doi:10.1016/j.jse.2020.06.020 </w:t>
      </w:r>
      <w:r>
        <w:rPr>
          <w:i/>
          <w:color w:val="5A6469"/>
          <w:sz w:val="17"/>
        </w:rPr>
        <w:t xml:space="preserve">(ECA · acceso resumen) </w:t>
      </w:r>
      <w:hyperlink r:id="rId22">
        <w:r>
          <w:rPr>
            <w:color w:val="0563C1"/>
            <w:u w:val="single"/>
            <w:sz w:val="18"/>
          </w:rPr>
          <w:t xml:space="preserve">https://doi.org/10.1016/j.jse.2020.06.020</w:t>
        </w:r>
      </w:hyperlink>
    </w:p>
    <w:p>
      <w:pPr>
        <w:spacing w:after="60"/>
        <w:ind w:left="510" w:hanging="510"/>
      </w:pPr>
      <w:r>
        <w:rPr>
          <w:b/>
          <w:sz w:val="18"/>
        </w:rPr>
        <w:t xml:space="preserve">[r6] </w:t>
      </w:r>
      <w:r>
        <w:rPr>
          <w:sz w:val="18"/>
        </w:rPr>
        <w:t xml:space="preserve">Wu Z, Shen W. An updated systematic review and meta‑analysis comparing deltoid‑split approach with deltopectoral approach for proximal humerus fractures. Exp Ther Med. 2023;25(6):296. doi:10.3892/etm.2023.11995 </w:t>
      </w:r>
      <w:r>
        <w:rPr>
          <w:i/>
          <w:color w:val="5A6469"/>
          <w:sz w:val="17"/>
        </w:rPr>
        <w:t xml:space="preserve">(RS-MA · acceso abierto) </w:t>
      </w:r>
      <w:hyperlink r:id="rId63">
        <w:r>
          <w:rPr>
            <w:color w:val="0563C1"/>
            <w:u w:val="single"/>
            <w:sz w:val="18"/>
          </w:rPr>
          <w:t xml:space="preserve">https://doi.org/10.3892/etm.2023.11995</w:t>
        </w:r>
      </w:hyperlink>
    </w:p>
    <w:p>
      <w:pPr>
        <w:spacing w:after="60"/>
        <w:ind w:left="510" w:hanging="510"/>
      </w:pPr>
      <w:r>
        <w:rPr>
          <w:b/>
          <w:sz w:val="18"/>
        </w:rPr>
        <w:t xml:space="preserve">[r7] </w:t>
      </w:r>
      <w:r>
        <w:rPr>
          <w:sz w:val="18"/>
        </w:rPr>
        <w:t xml:space="preserve">Li F, Liu X, Wang F, Gu Z, Tao Q, Yao C, et al. Comparison between minimally invasive plate osteosynthesis and open reduction-internal fixation for proximal humeral fractures: a meta-analysis based on 1050 individuals. BMC Musculoskelet Disord. 2019;20(1):550. doi:10.1186/s12891-019-2936-y </w:t>
      </w:r>
      <w:r>
        <w:rPr>
          <w:i/>
          <w:color w:val="5A6469"/>
          <w:sz w:val="17"/>
        </w:rPr>
        <w:t xml:space="preserve">(RS-MA · acceso abierto) </w:t>
      </w:r>
      <w:hyperlink r:id="rId64">
        <w:r>
          <w:rPr>
            <w:color w:val="0563C1"/>
            <w:u w:val="single"/>
            <w:sz w:val="18"/>
          </w:rPr>
          <w:t xml:space="preserve">https://doi.org/10.1186/s12891-019-2936-y</w:t>
        </w:r>
      </w:hyperlink>
    </w:p>
    <w:p>
      <w:pPr>
        <w:spacing w:after="60"/>
        <w:ind w:left="510" w:hanging="510"/>
      </w:pPr>
      <w:r>
        <w:rPr>
          <w:b/>
          <w:sz w:val="18"/>
        </w:rPr>
        <w:t xml:space="preserve">[r8] </w:t>
      </w:r>
      <w:r>
        <w:rPr>
          <w:sz w:val="18"/>
        </w:rPr>
        <w:t xml:space="preserve">Oldrini LM, Sangiorgio A, Feltri P, Marbach F, Filardo G, Candrian C. Proximal humerus fractures: deltopectoral open reduction and internal fixation vs deltosplit minimally invasive plate osteosynthesis: which surgical approach provides superior results? EFORT Open Rev. 2023;8(8):662-671. doi:10.1530/EOR-22-0110 </w:t>
      </w:r>
      <w:r>
        <w:rPr>
          <w:i/>
          <w:color w:val="5A6469"/>
          <w:sz w:val="17"/>
        </w:rPr>
        <w:t xml:space="preserve">(RS-MA · acceso abierto) </w:t>
      </w:r>
      <w:hyperlink r:id="rId12">
        <w:r>
          <w:rPr>
            <w:color w:val="0563C1"/>
            <w:u w:val="single"/>
            <w:sz w:val="18"/>
          </w:rPr>
          <w:t xml:space="preserve">https://doi.org/10.1530/EOR-22-0110</w:t>
        </w:r>
      </w:hyperlink>
    </w:p>
    <w:p>
      <w:pPr>
        <w:spacing w:after="60"/>
        <w:ind w:left="510" w:hanging="510"/>
      </w:pPr>
      <w:r>
        <w:rPr>
          <w:b/>
          <w:sz w:val="18"/>
        </w:rPr>
        <w:t xml:space="preserve">[r14] </w:t>
      </w:r>
      <w:r>
        <w:rPr>
          <w:sz w:val="18"/>
        </w:rPr>
        <w:t xml:space="preserve">Borer J, Schwarz J, Potthast S, Jakob M, Lenzlinger P, Zingg U, et al. Mid-term results of minimally invasive deltoid-split versus standard open deltopectoral approach for PHILOS™ (proximal humeral internal locking system) osteosynthesis in proximal humeral fractures. Eur J Trauma Emerg Surg. 2020;46(4):825-834. doi:10.1007/s00068-019-01076-7 </w:t>
      </w:r>
      <w:r>
        <w:rPr>
          <w:i/>
          <w:color w:val="5A6469"/>
          <w:sz w:val="17"/>
        </w:rPr>
        <w:t xml:space="preserve">(cohorte · acceso resumen) </w:t>
      </w:r>
      <w:hyperlink r:id="rId51">
        <w:r>
          <w:rPr>
            <w:color w:val="0563C1"/>
            <w:u w:val="single"/>
            <w:sz w:val="18"/>
          </w:rPr>
          <w:t xml:space="preserve">https://doi.org/10.1007/s00068-019-01076-7</w:t>
        </w:r>
      </w:hyperlink>
    </w:p>
    <w:p>
      <w:pPr>
        <w:spacing w:after="60"/>
        <w:ind w:left="510" w:hanging="510"/>
      </w:pPr>
      <w:r>
        <w:rPr>
          <w:b/>
          <w:sz w:val="18"/>
        </w:rPr>
        <w:t xml:space="preserve">[r25] </w:t>
      </w:r>
      <w:r>
        <w:rPr>
          <w:sz w:val="18"/>
        </w:rPr>
        <w:t xml:space="preserve">Bhayana H, Chouhan DK, Aggarwal S, Prakash M, Patel S, Arora C, et al. Outcomes of plate osteosynthesis for displaced 3-part and 4-part proximal humerus fractures with deltopectoral vs. deltoid split approach. Eur J Trauma Emerg Surg. 2022;48(6):4559-4567. doi:10.1007/s00068-021-01761-6 </w:t>
      </w:r>
      <w:r>
        <w:rPr>
          <w:i/>
          <w:color w:val="5A6469"/>
          <w:sz w:val="17"/>
        </w:rPr>
        <w:t xml:space="preserve">(cohorte · acceso resumen) </w:t>
      </w:r>
      <w:hyperlink r:id="rId52">
        <w:r>
          <w:rPr>
            <w:color w:val="0563C1"/>
            <w:u w:val="single"/>
            <w:sz w:val="18"/>
          </w:rPr>
          <w:t xml:space="preserve">https://doi.org/10.1007/s00068-021-01761-6</w:t>
        </w:r>
      </w:hyperlink>
    </w:p>
    <w:p>
      <w:pPr>
        <w:spacing w:after="60"/>
        <w:ind w:left="510" w:hanging="510"/>
      </w:pPr>
      <w:r>
        <w:rPr>
          <w:b/>
          <w:sz w:val="18"/>
        </w:rPr>
        <w:t xml:space="preserve">[r28] </w:t>
      </w:r>
      <w:r>
        <w:rPr>
          <w:sz w:val="18"/>
        </w:rPr>
        <w:t xml:space="preserve">Lin T, Xiao B, Ma X, Fu D, Yang S. Minimally invasive plate osteosynthesis with a locking compression plate is superior to open reduction and internal fixation in the management of the proximal humerus fractures. BMC Musculoskelet Disord. 2014;15:206. doi:10.1186/1471-2474-15-206 </w:t>
      </w:r>
      <w:r>
        <w:rPr>
          <w:i/>
          <w:color w:val="5A6469"/>
          <w:sz w:val="17"/>
        </w:rPr>
        <w:t xml:space="preserve">(cohorte · acceso abierto) </w:t>
      </w:r>
      <w:hyperlink r:id="rId17">
        <w:r>
          <w:rPr>
            <w:color w:val="0563C1"/>
            <w:u w:val="single"/>
            <w:sz w:val="18"/>
          </w:rPr>
          <w:t xml:space="preserve">https://doi.org/10.1186/1471-2474-15-206</w:t>
        </w:r>
      </w:hyperlink>
    </w:p>
    <w:p>
      <w:pPr>
        <w:spacing w:after="60"/>
        <w:ind w:left="510" w:hanging="510"/>
      </w:pPr>
      <w:r>
        <w:rPr>
          <w:b/>
          <w:sz w:val="18"/>
        </w:rPr>
        <w:t xml:space="preserve">[r29] </w:t>
      </w:r>
      <w:r>
        <w:rPr>
          <w:sz w:val="18"/>
        </w:rPr>
        <w:t xml:space="preserve">Xie L, Zhang Y, Chen C, Zheng W, Chen H, Cai L. Deltoid-split approach versus deltopectoral approach for proximal humerus fractures: A systematic review and meta-analysis. Orthop Traumatol Surg Res. 2019;105(2):307-316. doi:10.1016/j.otsr.2018.12.004 </w:t>
      </w:r>
      <w:r>
        <w:rPr>
          <w:i/>
          <w:color w:val="5A6469"/>
          <w:sz w:val="17"/>
        </w:rPr>
        <w:t xml:space="preserve">(RS-MA · acceso resumen) </w:t>
      </w:r>
      <w:hyperlink r:id="rId18">
        <w:r>
          <w:rPr>
            <w:color w:val="0563C1"/>
            <w:u w:val="single"/>
            <w:sz w:val="18"/>
          </w:rPr>
          <w:t xml:space="preserve">https://doi.org/10.1016/j.otsr.2018.12.004</w:t>
        </w:r>
      </w:hyperlink>
    </w:p>
    <w:p>
      <w:pPr>
        <w:pStyle w:val="Heading1"/>
      </w:pPr>
      <w:r>
        <w:t>Complicaciones</w:t>
      </w:r>
    </w:p>
    <w:p>
      <w:pPr>
        <w:pStyle w:val="Heading2"/>
      </w:pPr>
      <w:r>
        <w:t>El nervio axilar</w:t>
      </w:r>
    </w:p>
    <w:p>
      <w:r>
        <w:rPr/>
        <w:t>Es la complicación que define a esta vía (lectura propia). Se han descrito 4 mecanismos: tracción (deformación media de 51 % en cadáver con el separador abierto [r3]), posición del brazo (la abducción acerca el nervio al acromion [r9]), disección de más de 5 cm bajo el acromion [r1] e implante que cruza el nervio (en 20 hombros, el nervio atravesó la fila D de la placa en todos, la C en 11 y ambos orificios de la E en 16 [r11]; con tornillo de apoyo medial, las lesiones aparecieron solo en el grupo que lo recibió [r13]).</w:t>
      </w:r>
    </w:p>
    <w:p>
      <w:r>
        <w:rPr/>
        <w:t>Las tasas dependen de cómo se mire. Con EMG, 10 % de lesiones permanentes en 40 pacientes evaluados [r16] y 31 % de lesiones incompletas en 26 pacientes a las 3 a 4 semanas [r13]; con neurografía antes y después, sin cambios en 49 pacientes [r36]; con la clínica, 1 de 29 (3 %) [r27]. En el análisis de 798 pacientes, 1 lesión con deltoideo frente a 3 con deltopectoral [r8], mientras que Li halló OR 4,88 con MIPO [r7].</w:t>
      </w:r>
    </w:p>
    <w:p>
      <w:r>
        <w:rPr/>
        <w:t>Durante la cirugía, en 37 pacientes con monitorización continua, el axilar fue el nervio más a menudo afectado (46 %) entre los que dieron alerta intraoperatoria, y 3 pacientes tuvieron parálisis transitoria que resolvió en 3 semanas; se asociaron a disfunción nerviosa el IMC bajo, la enfermedad cervical, la diabetes y la demora de unos 14 días [r35].</w:t>
      </w:r>
    </w:p>
    <w:p>
      <w:pPr>
        <w:pStyle w:val="Heading2"/>
      </w:pPr>
      <w:r>
        <w:t>Lo que no es el nervio</w:t>
      </w:r>
    </w:p>
    <w:p>
      <w:pPr>
        <w:pStyle w:val="ListBullet"/>
      </w:pPr>
      <w:r>
        <w:rPr/>
        <w:t>Pinzamiento subacromial: 16,2 % en 74 pacientes (6,7 % por varo y 9,5 % por placa demasiado proximal) [r23]; en 798 pacientes, 4,3 % con deltoideo y 2,7 % con deltopectoral [r8].</w:t>
      </w:r>
    </w:p>
    <w:p>
      <w:pPr>
        <w:pStyle w:val="ListBullet"/>
      </w:pPr>
      <w:r>
        <w:rPr/>
        <w:t>Aflojamiento o migración de tornillos: 10,3 % con deltoideo frente a 5,6 % [r8].</w:t>
      </w:r>
    </w:p>
    <w:p>
      <w:pPr>
        <w:pStyle w:val="ListBullet"/>
      </w:pPr>
      <w:r>
        <w:rPr/>
        <w:t>Necrosis avascular: 1,4 % en la serie de Falez [r23]; 4,8 % frente a 2,5 % en la revisión [r8].</w:t>
      </w:r>
    </w:p>
    <w:p>
      <w:pPr>
        <w:pStyle w:val="ListBullet"/>
      </w:pPr>
      <w:r>
        <w:rPr/>
        <w:t>Inserción distal del deltoides: afectada en 8 de 8 brazos al pasar placa por el túnel submuscular [r43].</w:t>
      </w:r>
    </w:p>
    <w:p>
      <w:pPr>
        <w:pStyle w:val="ListBullet"/>
      </w:pPr>
      <w:r>
        <w:rPr/>
        <w:t>Parálisis del deltoides anterior tras fijación: se han descrito transferencias libres de gracilis como rescate; en 3 pacientes las primeras señales aparecieron a los 4 meses [r50].</w:t>
      </w:r>
    </w:p>
    <w:p>
      <w:pPr>
        <w:keepNext/>
      </w:pPr>
      <w:r>
        <w:rPr>
          <w:b/>
          <w:color w:val="0F5F6B"/>
          <w:sz w:val="20"/>
        </w:rPr>
        <w:t>Figura 7. Lesión del axilar tras fijación por vía deltoidea, por estudio y método (no son comparables entre sí)</w:t>
      </w:r>
      <w:r>
        <w:rPr>
          <w:color w:val="5A6469"/>
          <w:sz w:val="18"/>
        </w:rPr>
        <w:t xml:space="preserve">  [r13] [r16] [r27] [r8] [r36]</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6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Transdeltoid lateral approach to the proximal humerus [Internet]. En: AO Surgery Reference. Davos: AO Foundation [consultado 2026 oct 12]. Disponible en: https://surgeryreference.aofoundation.org/orthopedic-trauma/adult-trauma/proximal-humerus/approach/transdeltoid-lateral-approach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https://surgeryreference.aofoundation.org/orthopedic-trauma/adult-trauma/proximal-humerus/approach/transdeltoid-lateral-approach</w:t>
        </w:r>
      </w:hyperlink>
    </w:p>
    <w:p>
      <w:pPr>
        <w:spacing w:after="60"/>
        <w:ind w:left="510" w:hanging="510"/>
      </w:pPr>
      <w:r>
        <w:rPr>
          <w:b/>
          <w:sz w:val="18"/>
        </w:rPr>
        <w:t xml:space="preserve">[r3] </w:t>
      </w:r>
      <w:r>
        <w:rPr>
          <w:sz w:val="18"/>
        </w:rPr>
        <w:t xml:space="preserve">Traver JL, Guzman MA, Cannada LK, Kaar SG. Is the Axillary Nerve at Risk During a Deltoid-Splitting Approach for Proximal Humerus Fractures? J Orthop Trauma. 2016;30(5):240-4. doi:10.1097/BOT.0000000000000492 </w:t>
      </w:r>
      <w:r>
        <w:rPr>
          <w:i/>
          <w:color w:val="5A6469"/>
          <w:sz w:val="17"/>
        </w:rPr>
        <w:t xml:space="preserve">(serie · acceso resumen) </w:t>
      </w:r>
      <w:hyperlink r:id="rId37">
        <w:r>
          <w:rPr>
            <w:color w:val="0563C1"/>
            <w:u w:val="single"/>
            <w:sz w:val="18"/>
          </w:rPr>
          <w:t xml:space="preserve">https://doi.org/10.1097/BOT.0000000000000492</w:t>
        </w:r>
      </w:hyperlink>
    </w:p>
    <w:p>
      <w:pPr>
        <w:spacing w:after="60"/>
        <w:ind w:left="510" w:hanging="510"/>
      </w:pPr>
      <w:r>
        <w:rPr>
          <w:b/>
          <w:sz w:val="18"/>
        </w:rPr>
        <w:t xml:space="preserve">[r7] </w:t>
      </w:r>
      <w:r>
        <w:rPr>
          <w:sz w:val="18"/>
        </w:rPr>
        <w:t xml:space="preserve">Li F, Liu X, Wang F, Gu Z, Tao Q, Yao C, et al. Comparison between minimally invasive plate osteosynthesis and open reduction-internal fixation for proximal humeral fractures: a meta-analysis based on 1050 individuals. BMC Musculoskelet Disord. 2019;20(1):550. doi:10.1186/s12891-019-2936-y </w:t>
      </w:r>
      <w:r>
        <w:rPr>
          <w:i/>
          <w:color w:val="5A6469"/>
          <w:sz w:val="17"/>
        </w:rPr>
        <w:t xml:space="preserve">(RS-MA · acceso abierto) </w:t>
      </w:r>
      <w:hyperlink r:id="rId64">
        <w:r>
          <w:rPr>
            <w:color w:val="0563C1"/>
            <w:u w:val="single"/>
            <w:sz w:val="18"/>
          </w:rPr>
          <w:t xml:space="preserve">https://doi.org/10.1186/s12891-019-2936-y</w:t>
        </w:r>
      </w:hyperlink>
    </w:p>
    <w:p>
      <w:pPr>
        <w:spacing w:after="60"/>
        <w:ind w:left="510" w:hanging="510"/>
      </w:pPr>
      <w:r>
        <w:rPr>
          <w:b/>
          <w:sz w:val="18"/>
        </w:rPr>
        <w:t xml:space="preserve">[r8] </w:t>
      </w:r>
      <w:r>
        <w:rPr>
          <w:sz w:val="18"/>
        </w:rPr>
        <w:t xml:space="preserve">Oldrini LM, Sangiorgio A, Feltri P, Marbach F, Filardo G, Candrian C. Proximal humerus fractures: deltopectoral open reduction and internal fixation vs deltosplit minimally invasive plate osteosynthesis: which surgical approach provides superior results? EFORT Open Rev. 2023;8(8):662-671. doi:10.1530/EOR-22-0110 </w:t>
      </w:r>
      <w:r>
        <w:rPr>
          <w:i/>
          <w:color w:val="5A6469"/>
          <w:sz w:val="17"/>
        </w:rPr>
        <w:t xml:space="preserve">(RS-MA · acceso abierto) </w:t>
      </w:r>
      <w:hyperlink r:id="rId12">
        <w:r>
          <w:rPr>
            <w:color w:val="0563C1"/>
            <w:u w:val="single"/>
            <w:sz w:val="18"/>
          </w:rPr>
          <w:t xml:space="preserve">https://doi.org/10.1530/EOR-22-0110</w:t>
        </w:r>
      </w:hyperlink>
    </w:p>
    <w:p>
      <w:pPr>
        <w:spacing w:after="60"/>
        <w:ind w:left="510" w:hanging="510"/>
      </w:pPr>
      <w:r>
        <w:rPr>
          <w:b/>
          <w:sz w:val="18"/>
        </w:rPr>
        <w:t xml:space="preserve">[r9] </w:t>
      </w:r>
      <w:r>
        <w:rPr>
          <w:sz w:val="18"/>
        </w:rPr>
        <w:t xml:space="preserve">Cheung S, Fitzpatrick M, Lee TQ. Effects of shoulder position on axillary nerve positions during the split lateral deltoid approach. J Shoulder Elbow Surg. 2009;18(5):748-55. doi:10.1016/j.jse.2008.12.001 </w:t>
      </w:r>
      <w:r>
        <w:rPr>
          <w:i/>
          <w:color w:val="5A6469"/>
          <w:sz w:val="17"/>
        </w:rPr>
        <w:t xml:space="preserve">(serie · acceso resumen) </w:t>
      </w:r>
      <w:hyperlink r:id="rId38">
        <w:r>
          <w:rPr>
            <w:color w:val="0563C1"/>
            <w:u w:val="single"/>
            <w:sz w:val="18"/>
          </w:rPr>
          <w:t xml:space="preserve">https://doi.org/10.1016/j.jse.2008.12.001</w:t>
        </w:r>
      </w:hyperlink>
    </w:p>
    <w:p>
      <w:pPr>
        <w:spacing w:after="60"/>
        <w:ind w:left="510" w:hanging="510"/>
      </w:pPr>
      <w:r>
        <w:rPr>
          <w:b/>
          <w:sz w:val="18"/>
        </w:rPr>
        <w:t xml:space="preserve">[r11] </w:t>
      </w:r>
      <w:r>
        <w:rPr>
          <w:sz w:val="18"/>
        </w:rPr>
        <w:t xml:space="preserve">Dang KH, Ornell SS, Reyes G, Hussey M, Dutta AK. A new risk to the axillary nerve during percutaneous proximal humeral plate fixation using the Synthes PHILOS aiming system. J Shoulder Elbow Surg. 2019;28(9):1795-1800. doi:10.1016/j.jse.2019.01.019 </w:t>
      </w:r>
      <w:r>
        <w:rPr>
          <w:i/>
          <w:color w:val="5A6469"/>
          <w:sz w:val="17"/>
        </w:rPr>
        <w:t xml:space="preserve">(serie · acceso resumen) </w:t>
      </w:r>
      <w:hyperlink r:id="rId57">
        <w:r>
          <w:rPr>
            <w:color w:val="0563C1"/>
            <w:u w:val="single"/>
            <w:sz w:val="18"/>
          </w:rPr>
          <w:t xml:space="preserve">https://doi.org/10.1016/j.jse.2019.01.019</w:t>
        </w:r>
      </w:hyperlink>
    </w:p>
    <w:p>
      <w:pPr>
        <w:spacing w:after="60"/>
        <w:ind w:left="510" w:hanging="510"/>
      </w:pPr>
      <w:r>
        <w:rPr>
          <w:b/>
          <w:sz w:val="18"/>
        </w:rPr>
        <w:t xml:space="preserve">[r13] </w:t>
      </w:r>
      <w:r>
        <w:rPr>
          <w:sz w:val="18"/>
        </w:rPr>
        <w:t xml:space="preserve">Jeon N, Park S, Bae KH, Park KC, Hwang Bo BH, Lim TK. The use of medial support screw was associated with axillary nerve injury after plate fixation of proximal humeral fracture using minimal invasive deltoid-splitting approach. J Orthop Sci. 2023;28(2):432-437. doi:10.1016/j.jos.2021.11.004 </w:t>
      </w:r>
      <w:r>
        <w:rPr>
          <w:i/>
          <w:color w:val="5A6469"/>
          <w:sz w:val="17"/>
        </w:rPr>
        <w:t xml:space="preserve">(cohorte · acceso resumen) </w:t>
      </w:r>
      <w:hyperlink r:id="rId23">
        <w:r>
          <w:rPr>
            <w:color w:val="0563C1"/>
            <w:u w:val="single"/>
            <w:sz w:val="18"/>
          </w:rPr>
          <w:t xml:space="preserve">https://doi.org/10.1016/j.jos.2021.11.004</w:t>
        </w:r>
      </w:hyperlink>
    </w:p>
    <w:p>
      <w:pPr>
        <w:spacing w:after="60"/>
        <w:ind w:left="510" w:hanging="510"/>
      </w:pPr>
      <w:r>
        <w:rPr>
          <w:b/>
          <w:sz w:val="18"/>
        </w:rPr>
        <w:t xml:space="preserve">[r16] </w:t>
      </w:r>
      <w:r>
        <w:rPr>
          <w:sz w:val="18"/>
        </w:rPr>
        <w:t xml:space="preserve">Westphal T, Woischnik S, Adolf D, Feistner H, Piatek S. Axillary nerve lesions after open reduction and internal fixation of proximal humeral fractures through an extended lateral deltoid-split approach: electrophysiological findings. J Shoulder Elbow Surg. 2017;26(3):464-471. doi:10.1016/j.jse.2016.07.027 </w:t>
      </w:r>
      <w:r>
        <w:rPr>
          <w:i/>
          <w:color w:val="5A6469"/>
          <w:sz w:val="17"/>
        </w:rPr>
        <w:t xml:space="preserve">(cohorte · acceso resumen) </w:t>
      </w:r>
      <w:hyperlink r:id="rId25">
        <w:r>
          <w:rPr>
            <w:color w:val="0563C1"/>
            <w:u w:val="single"/>
            <w:sz w:val="18"/>
          </w:rPr>
          <w:t xml:space="preserve">https://doi.org/10.1016/j.jse.2016.07.027</w:t>
        </w:r>
      </w:hyperlink>
    </w:p>
    <w:p>
      <w:pPr>
        <w:spacing w:after="60"/>
        <w:ind w:left="510" w:hanging="510"/>
      </w:pPr>
      <w:r>
        <w:rPr>
          <w:b/>
          <w:sz w:val="18"/>
        </w:rPr>
        <w:t xml:space="preserve">[r23] </w:t>
      </w:r>
      <w:r>
        <w:rPr>
          <w:sz w:val="18"/>
        </w:rPr>
        <w:t xml:space="preserve">Falez F, Papalia M, Greco A, Teti A, Favetti F, Panegrossi G, et al. Minimally invasive plate osteosynthesis in proximal humeral fractures: one-year results of a prospective multicenter study. Int Orthop. 2016;40(3):579-85. doi:10.1007/s00264-015-3069-z </w:t>
      </w:r>
      <w:r>
        <w:rPr>
          <w:i/>
          <w:color w:val="5A6469"/>
          <w:sz w:val="17"/>
        </w:rPr>
        <w:t xml:space="preserve">(serie · acceso resumen) </w:t>
      </w:r>
      <w:hyperlink r:id="rId54">
        <w:r>
          <w:rPr>
            <w:color w:val="0563C1"/>
            <w:u w:val="single"/>
            <w:sz w:val="18"/>
          </w:rPr>
          <w:t xml:space="preserve">https://doi.org/10.1007/s00264-015-3069-z</w:t>
        </w:r>
      </w:hyperlink>
    </w:p>
    <w:p>
      <w:pPr>
        <w:spacing w:after="60"/>
        <w:ind w:left="510" w:hanging="510"/>
      </w:pPr>
      <w:r>
        <w:rPr>
          <w:b/>
          <w:sz w:val="18"/>
        </w:rPr>
        <w:t xml:space="preserve">[r24] </w:t>
      </w:r>
      <w:r>
        <w:rPr>
          <w:sz w:val="18"/>
        </w:rPr>
        <w:t xml:space="preserve">Röderer G, Abouelsoud M, Gebhard F, Böckers TM, Kinzl L. Minimally invasive application of the non-contact-bridging (NCB) plate to the proximal humerus: an anatomical study. J Orthop Trauma. 2007;21(9):621-7. doi:10.1097/BOT.0b013e318157f0cd </w:t>
      </w:r>
      <w:r>
        <w:rPr>
          <w:i/>
          <w:color w:val="5A6469"/>
          <w:sz w:val="17"/>
        </w:rPr>
        <w:t xml:space="preserve">(serie · acceso resumen) </w:t>
      </w:r>
      <w:hyperlink r:id="rId55">
        <w:r>
          <w:rPr>
            <w:color w:val="0563C1"/>
            <w:u w:val="single"/>
            <w:sz w:val="18"/>
          </w:rPr>
          <w:t xml:space="preserve">https://doi.org/10.1097/BOT.0b013e318157f0cd</w:t>
        </w:r>
      </w:hyperlink>
    </w:p>
    <w:p>
      <w:pPr>
        <w:spacing w:after="60"/>
        <w:ind w:left="510" w:hanging="510"/>
      </w:pPr>
      <w:r>
        <w:rPr>
          <w:b/>
          <w:sz w:val="18"/>
        </w:rPr>
        <w:t xml:space="preserve">[r27] </w:t>
      </w:r>
      <w:r>
        <w:rPr>
          <w:sz w:val="18"/>
        </w:rPr>
        <w:t xml:space="preserve">Acklin YP, Sommer C. Plate fixation of proximal humerus fractures using the minimally invasive anterolateral delta split approach. Oper Orthop Traumatol. 2012;24(1):61-73. doi:10.1007/s00064-011-0051-9 </w:t>
      </w:r>
      <w:r>
        <w:rPr>
          <w:i/>
          <w:color w:val="5A6469"/>
          <w:sz w:val="17"/>
        </w:rPr>
        <w:t xml:space="preserve">(serie · acceso resumen) </w:t>
      </w:r>
      <w:hyperlink r:id="rId16">
        <w:r>
          <w:rPr>
            <w:color w:val="0563C1"/>
            <w:u w:val="single"/>
            <w:sz w:val="18"/>
          </w:rPr>
          <w:t xml:space="preserve">https://doi.org/10.1007/s00064-011-0051-9</w:t>
        </w:r>
      </w:hyperlink>
    </w:p>
    <w:p>
      <w:pPr>
        <w:spacing w:after="60"/>
        <w:ind w:left="510" w:hanging="510"/>
      </w:pPr>
      <w:r>
        <w:rPr>
          <w:b/>
          <w:sz w:val="18"/>
        </w:rPr>
        <w:t xml:space="preserve">[r35] </w:t>
      </w:r>
      <w:r>
        <w:rPr>
          <w:sz w:val="18"/>
        </w:rPr>
        <w:t xml:space="preserve">Warrender WJ, Oppenheimer S, Abboud JA. Nerve monitoring during proximal humeral fracture fixation: what have we learned? Clin Orthop Relat Res. 2011;469(9):2631-7. doi:10.1007/s11999-010-1760-3 </w:t>
      </w:r>
      <w:r>
        <w:rPr>
          <w:i/>
          <w:color w:val="5A6469"/>
          <w:sz w:val="17"/>
        </w:rPr>
        <w:t xml:space="preserve">(cohorte · acceso resumen) </w:t>
      </w:r>
      <w:hyperlink r:id="rId28">
        <w:r>
          <w:rPr>
            <w:color w:val="0563C1"/>
            <w:u w:val="single"/>
            <w:sz w:val="18"/>
          </w:rPr>
          <w:t xml:space="preserve">https://doi.org/10.1007/s11999-010-1760-3</w:t>
        </w:r>
      </w:hyperlink>
    </w:p>
    <w:p>
      <w:pPr>
        <w:spacing w:after="60"/>
        <w:ind w:left="510" w:hanging="510"/>
      </w:pPr>
      <w:r>
        <w:rPr>
          <w:b/>
          <w:sz w:val="18"/>
        </w:rPr>
        <w:t xml:space="preserve">[r36] </w:t>
      </w:r>
      <w:r>
        <w:rPr>
          <w:sz w:val="18"/>
        </w:rPr>
        <w:t xml:space="preserve">Knežević J, Mihalj M, Čukelj F, Ivanišević A. MIPO of proximal humerus fractures through an anterolateral acromial approach. Is the axillary nerve at risk? Injury. 2017;48 Suppl 5:S15-S20. doi:10.1016/S0020-1383(17)30733-7 </w:t>
      </w:r>
      <w:r>
        <w:rPr>
          <w:i/>
          <w:color w:val="5A6469"/>
          <w:sz w:val="17"/>
        </w:rPr>
        <w:t xml:space="preserve">(cohorte · acceso resumen) </w:t>
      </w:r>
      <w:hyperlink r:id="rId29">
        <w:r>
          <w:rPr>
            <w:color w:val="0563C1"/>
            <w:u w:val="single"/>
            <w:sz w:val="18"/>
          </w:rPr>
          <w:t xml:space="preserve">https://doi.org/10.1016/S0020-1383(17)30733-7</w:t>
        </w:r>
      </w:hyperlink>
    </w:p>
    <w:p>
      <w:pPr>
        <w:spacing w:after="60"/>
        <w:ind w:left="510" w:hanging="510"/>
      </w:pPr>
      <w:r>
        <w:rPr>
          <w:b/>
          <w:sz w:val="18"/>
        </w:rPr>
        <w:t xml:space="preserve">[r43] </w:t>
      </w:r>
      <w:r>
        <w:rPr>
          <w:sz w:val="18"/>
        </w:rPr>
        <w:t xml:space="preserve">Benninger E, Meier C. Minimally invasive lateral plate placement for metadiaphyseal fractures of the humerus and its implications for the distal deltoid insertion- it is not only about the radial nerve. A cadaveric study. Injury. 2017;48(3):615-620. doi:10.1016/j.injury.2017.01.026 </w:t>
      </w:r>
      <w:r>
        <w:rPr>
          <w:i/>
          <w:color w:val="5A6469"/>
          <w:sz w:val="17"/>
        </w:rPr>
        <w:t xml:space="preserve">(serie · acceso resumen) </w:t>
      </w:r>
      <w:hyperlink r:id="rId44">
        <w:r>
          <w:rPr>
            <w:color w:val="0563C1"/>
            <w:u w:val="single"/>
            <w:sz w:val="18"/>
          </w:rPr>
          <w:t xml:space="preserve">https://doi.org/10.1016/j.injury.2017.01.026</w:t>
        </w:r>
      </w:hyperlink>
    </w:p>
    <w:p>
      <w:pPr>
        <w:spacing w:after="60"/>
        <w:ind w:left="510" w:hanging="510"/>
      </w:pPr>
      <w:r>
        <w:rPr>
          <w:b/>
          <w:sz w:val="18"/>
        </w:rPr>
        <w:t xml:space="preserve">[r50] </w:t>
      </w:r>
      <w:r>
        <w:rPr>
          <w:sz w:val="18"/>
        </w:rPr>
        <w:t xml:space="preserve">Gstoettner C, Laengle G, Boesendorfer A, Sturma A, Politikou O, Salminger S, et al. Free functional gracilis transfer for reconstruction of isolated anterior deltoid atrophy following surgical proximal humerus fixation. J Plast Reconstr Aesthet Surg. 2024;99:160-167. doi:10.1016/j.bjps.2024.09.003 </w:t>
      </w:r>
      <w:r>
        <w:rPr>
          <w:i/>
          <w:color w:val="5A6469"/>
          <w:sz w:val="17"/>
        </w:rPr>
        <w:t xml:space="preserve">(serie · acceso resumen) </w:t>
      </w:r>
      <w:hyperlink r:id="rId66">
        <w:r>
          <w:rPr>
            <w:color w:val="0563C1"/>
            <w:u w:val="single"/>
            <w:sz w:val="18"/>
          </w:rPr>
          <w:t xml:space="preserve">https://doi.org/10.1016/j.bjps.2024.09.003</w:t>
        </w:r>
      </w:hyperlink>
    </w:p>
    <w:p>
      <w:pPr>
        <w:pStyle w:val="Heading1"/>
      </w:pPr>
      <w:r>
        <w:t>Pronóstico</w:t>
      </w:r>
    </w:p>
    <w:p>
      <w:pPr>
        <w:pStyle w:val="Heading2"/>
      </w:pPr>
      <w:r>
        <w:t>Función tras la fijación</w:t>
      </w:r>
    </w:p>
    <w:p>
      <w:r>
        <w:rPr/>
        <w:t>Las series publicadas con delta split o MIPO por vía lateral rinden Constant medios o medianos de entre 61 y 81 puntos a 1 año o más: 78 en 29 pacientes [r27], 71 en 74 [r23], 81 en el brazo deltoideo del ensayo de Buecking [r4], 79 en la serie de Borer [r14] y 61 (crudo) en la de Westphal, con 71 % ajustado por edad y sexo y DASH de 33 [r16].</w:t>
      </w:r>
    </w:p>
    <w:p>
      <w:pPr>
        <w:pStyle w:val="Heading2"/>
      </w:pPr>
      <w:r>
        <w:t>Si el nervio se lesiona</w:t>
      </w:r>
    </w:p>
    <w:p>
      <w:r>
        <w:rPr/>
        <w:t>En la serie prospectiva de 143 fracturas por baja energía, todos recuperaron el nervio y la fuerza, pero quienes tenían lesión nerviosa tardaron más y la función del hombro se restableció peor; ningún caso necesitó explorar el nervio [r15]. En una serie con EMG a las 3 a 4 semanas, la elevación activa a los 3 meses fue de 99° con lesión y 123° sin lesión, y los resultados finales no difirieron [r13]. Lo usual es observar y pedir electrodiagnóstico solo si a las 3 a 6 semanas no hay signos de recuperación [r37]. Para la parálisis del deltoides anterior sin opción de reparar el nervio, se han descrito transferencias musculares como rescate [r50].</w:t>
      </w:r>
    </w:p>
    <w:p>
      <w:pPr>
        <w:pStyle w:val="Heading2"/>
      </w:pPr>
      <w:r>
        <w:t>Qué decirle al paciente</w:t>
      </w:r>
    </w:p>
    <w:p>
      <w:r>
        <w:rPr/>
        <w:t>Que en la mayoría de las comparaciones la función a 12 meses fue similar a la del deltopectoral [r4][r6], que en un ensayo el deltopectoral dio mejor Q-DASH [r5], y que el nervio es el riesgo propio de la vía (práctica habitual / opinión experta, a partir de los datos citados).</w:t>
      </w:r>
    </w:p>
    <w:p>
      <w:pPr>
        <w:keepNext/>
      </w:pPr>
      <w:r>
        <w:rPr>
          <w:b/>
          <w:color w:val="0F5F6B"/>
          <w:sz w:val="20"/>
        </w:rPr>
        <w:t>Figura 8. Constant medio o mediano en series con vía lateral (los métodos no son idénticos)</w:t>
      </w:r>
      <w:r>
        <w:rPr>
          <w:color w:val="5A6469"/>
          <w:sz w:val="18"/>
        </w:rPr>
        <w:t xml:space="preserve">  [r4] [r14] [r27] [r23] [r16]</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Buecking B, Mohr J, Bockmann B, Zettl R, Ruchholtz S. Deltoid-split or deltopectoral approaches for the treatment of displaced proximal humeral fractures? Clin Orthop Relat Res. 2014;472(5):1576-85. doi:10.1007/s11999-013-3415-7 </w:t>
      </w:r>
      <w:r>
        <w:rPr>
          <w:i/>
          <w:color w:val="5A6469"/>
          <w:sz w:val="17"/>
        </w:rPr>
        <w:t xml:space="preserve">(ECA · acceso resumen) </w:t>
      </w:r>
      <w:hyperlink r:id="rId62">
        <w:r>
          <w:rPr>
            <w:color w:val="0563C1"/>
            <w:u w:val="single"/>
            <w:sz w:val="18"/>
          </w:rPr>
          <w:t xml:space="preserve">https://doi.org/10.1007/s11999-013-3415-7</w:t>
        </w:r>
      </w:hyperlink>
    </w:p>
    <w:p>
      <w:pPr>
        <w:spacing w:after="60"/>
        <w:ind w:left="510" w:hanging="510"/>
      </w:pPr>
      <w:r>
        <w:rPr>
          <w:b/>
          <w:sz w:val="18"/>
        </w:rPr>
        <w:t xml:space="preserve">[r5] </w:t>
      </w:r>
      <w:r>
        <w:rPr>
          <w:sz w:val="18"/>
        </w:rPr>
        <w:t xml:space="preserve">Rouleau DM, Balg F, Benoit B, Leduc S, Malo M, Vézina F, et al. Deltopectoral vs. deltoid split approach for proximal HUmerus fracture fixation with locking plate: a prospective RAndomized study (HURA). J Shoulder Elbow Surg. 2020;29(11):2190-2199. doi:10.1016/j.jse.2020.06.020 </w:t>
      </w:r>
      <w:r>
        <w:rPr>
          <w:i/>
          <w:color w:val="5A6469"/>
          <w:sz w:val="17"/>
        </w:rPr>
        <w:t xml:space="preserve">(ECA · acceso resumen) </w:t>
      </w:r>
      <w:hyperlink r:id="rId22">
        <w:r>
          <w:rPr>
            <w:color w:val="0563C1"/>
            <w:u w:val="single"/>
            <w:sz w:val="18"/>
          </w:rPr>
          <w:t xml:space="preserve">https://doi.org/10.1016/j.jse.2020.06.020</w:t>
        </w:r>
      </w:hyperlink>
    </w:p>
    <w:p>
      <w:pPr>
        <w:spacing w:after="60"/>
        <w:ind w:left="510" w:hanging="510"/>
      </w:pPr>
      <w:r>
        <w:rPr>
          <w:b/>
          <w:sz w:val="18"/>
        </w:rPr>
        <w:t xml:space="preserve">[r6] </w:t>
      </w:r>
      <w:r>
        <w:rPr>
          <w:sz w:val="18"/>
        </w:rPr>
        <w:t xml:space="preserve">Wu Z, Shen W. An updated systematic review and meta‑analysis comparing deltoid‑split approach with deltopectoral approach for proximal humerus fractures. Exp Ther Med. 2023;25(6):296. doi:10.3892/etm.2023.11995 </w:t>
      </w:r>
      <w:r>
        <w:rPr>
          <w:i/>
          <w:color w:val="5A6469"/>
          <w:sz w:val="17"/>
        </w:rPr>
        <w:t xml:space="preserve">(RS-MA · acceso abierto) </w:t>
      </w:r>
      <w:hyperlink r:id="rId63">
        <w:r>
          <w:rPr>
            <w:color w:val="0563C1"/>
            <w:u w:val="single"/>
            <w:sz w:val="18"/>
          </w:rPr>
          <w:t xml:space="preserve">https://doi.org/10.3892/etm.2023.11995</w:t>
        </w:r>
      </w:hyperlink>
    </w:p>
    <w:p>
      <w:pPr>
        <w:spacing w:after="60"/>
        <w:ind w:left="510" w:hanging="510"/>
      </w:pPr>
      <w:r>
        <w:rPr>
          <w:b/>
          <w:sz w:val="18"/>
        </w:rPr>
        <w:t xml:space="preserve">[r13] </w:t>
      </w:r>
      <w:r>
        <w:rPr>
          <w:sz w:val="18"/>
        </w:rPr>
        <w:t xml:space="preserve">Jeon N, Park S, Bae KH, Park KC, Hwang Bo BH, Lim TK. The use of medial support screw was associated with axillary nerve injury after plate fixation of proximal humeral fracture using minimal invasive deltoid-splitting approach. J Orthop Sci. 2023;28(2):432-437. doi:10.1016/j.jos.2021.11.004 </w:t>
      </w:r>
      <w:r>
        <w:rPr>
          <w:i/>
          <w:color w:val="5A6469"/>
          <w:sz w:val="17"/>
        </w:rPr>
        <w:t xml:space="preserve">(cohorte · acceso resumen) </w:t>
      </w:r>
      <w:hyperlink r:id="rId23">
        <w:r>
          <w:rPr>
            <w:color w:val="0563C1"/>
            <w:u w:val="single"/>
            <w:sz w:val="18"/>
          </w:rPr>
          <w:t xml:space="preserve">https://doi.org/10.1016/j.jos.2021.11.004</w:t>
        </w:r>
      </w:hyperlink>
    </w:p>
    <w:p>
      <w:pPr>
        <w:spacing w:after="60"/>
        <w:ind w:left="510" w:hanging="510"/>
      </w:pPr>
      <w:r>
        <w:rPr>
          <w:b/>
          <w:sz w:val="18"/>
        </w:rPr>
        <w:t xml:space="preserve">[r14] </w:t>
      </w:r>
      <w:r>
        <w:rPr>
          <w:sz w:val="18"/>
        </w:rPr>
        <w:t xml:space="preserve">Borer J, Schwarz J, Potthast S, Jakob M, Lenzlinger P, Zingg U, et al. Mid-term results of minimally invasive deltoid-split versus standard open deltopectoral approach for PHILOS™ (proximal humeral internal locking system) osteosynthesis in proximal humeral fractures. Eur J Trauma Emerg Surg. 2020;46(4):825-834. doi:10.1007/s00068-019-01076-7 </w:t>
      </w:r>
      <w:r>
        <w:rPr>
          <w:i/>
          <w:color w:val="5A6469"/>
          <w:sz w:val="17"/>
        </w:rPr>
        <w:t xml:space="preserve">(cohorte · acceso resumen) </w:t>
      </w:r>
      <w:hyperlink r:id="rId51">
        <w:r>
          <w:rPr>
            <w:color w:val="0563C1"/>
            <w:u w:val="single"/>
            <w:sz w:val="18"/>
          </w:rPr>
          <w:t xml:space="preserve">https://doi.org/10.1007/s00068-019-01076-7</w:t>
        </w:r>
      </w:hyperlink>
    </w:p>
    <w:p>
      <w:pPr>
        <w:spacing w:after="60"/>
        <w:ind w:left="510" w:hanging="510"/>
      </w:pPr>
      <w:r>
        <w:rPr>
          <w:b/>
          <w:sz w:val="18"/>
        </w:rPr>
        <w:t xml:space="preserve">[r15] </w:t>
      </w:r>
      <w:r>
        <w:rPr>
          <w:sz w:val="18"/>
        </w:rPr>
        <w:t xml:space="preserve">Visser CP, Coene LN, Brand R, Tavy DL. Nerve lesions in proximal humeral fractures. J Shoulder Elbow Surg. 2001;10(5):421-7. doi:10.1067/mse.2001.118002 </w:t>
      </w:r>
      <w:r>
        <w:rPr>
          <w:i/>
          <w:color w:val="5A6469"/>
          <w:sz w:val="17"/>
        </w:rPr>
        <w:t xml:space="preserve">(cohorte · acceso resumen) </w:t>
      </w:r>
      <w:hyperlink r:id="rId24">
        <w:r>
          <w:rPr>
            <w:color w:val="0563C1"/>
            <w:u w:val="single"/>
            <w:sz w:val="18"/>
          </w:rPr>
          <w:t xml:space="preserve">https://doi.org/10.1067/mse.2001.118002</w:t>
        </w:r>
      </w:hyperlink>
    </w:p>
    <w:p>
      <w:pPr>
        <w:spacing w:after="60"/>
        <w:ind w:left="510" w:hanging="510"/>
      </w:pPr>
      <w:r>
        <w:rPr>
          <w:b/>
          <w:sz w:val="18"/>
        </w:rPr>
        <w:t xml:space="preserve">[r16] </w:t>
      </w:r>
      <w:r>
        <w:rPr>
          <w:sz w:val="18"/>
        </w:rPr>
        <w:t xml:space="preserve">Westphal T, Woischnik S, Adolf D, Feistner H, Piatek S. Axillary nerve lesions after open reduction and internal fixation of proximal humeral fractures through an extended lateral deltoid-split approach: electrophysiological findings. J Shoulder Elbow Surg. 2017;26(3):464-471. doi:10.1016/j.jse.2016.07.027 </w:t>
      </w:r>
      <w:r>
        <w:rPr>
          <w:i/>
          <w:color w:val="5A6469"/>
          <w:sz w:val="17"/>
        </w:rPr>
        <w:t xml:space="preserve">(cohorte · acceso resumen) </w:t>
      </w:r>
      <w:hyperlink r:id="rId25">
        <w:r>
          <w:rPr>
            <w:color w:val="0563C1"/>
            <w:u w:val="single"/>
            <w:sz w:val="18"/>
          </w:rPr>
          <w:t xml:space="preserve">https://doi.org/10.1016/j.jse.2016.07.027</w:t>
        </w:r>
      </w:hyperlink>
    </w:p>
    <w:p>
      <w:pPr>
        <w:spacing w:after="60"/>
        <w:ind w:left="510" w:hanging="510"/>
      </w:pPr>
      <w:r>
        <w:rPr>
          <w:b/>
          <w:sz w:val="18"/>
        </w:rPr>
        <w:t xml:space="preserve">[r23] </w:t>
      </w:r>
      <w:r>
        <w:rPr>
          <w:sz w:val="18"/>
        </w:rPr>
        <w:t xml:space="preserve">Falez F, Papalia M, Greco A, Teti A, Favetti F, Panegrossi G, et al. Minimally invasive plate osteosynthesis in proximal humeral fractures: one-year results of a prospective multicenter study. Int Orthop. 2016;40(3):579-85. doi:10.1007/s00264-015-3069-z </w:t>
      </w:r>
      <w:r>
        <w:rPr>
          <w:i/>
          <w:color w:val="5A6469"/>
          <w:sz w:val="17"/>
        </w:rPr>
        <w:t xml:space="preserve">(serie · acceso resumen) </w:t>
      </w:r>
      <w:hyperlink r:id="rId54">
        <w:r>
          <w:rPr>
            <w:color w:val="0563C1"/>
            <w:u w:val="single"/>
            <w:sz w:val="18"/>
          </w:rPr>
          <w:t xml:space="preserve">https://doi.org/10.1007/s00264-015-3069-z</w:t>
        </w:r>
      </w:hyperlink>
    </w:p>
    <w:p>
      <w:pPr>
        <w:spacing w:after="60"/>
        <w:ind w:left="510" w:hanging="510"/>
      </w:pPr>
      <w:r>
        <w:rPr>
          <w:b/>
          <w:sz w:val="18"/>
        </w:rPr>
        <w:t xml:space="preserve">[r27] </w:t>
      </w:r>
      <w:r>
        <w:rPr>
          <w:sz w:val="18"/>
        </w:rPr>
        <w:t xml:space="preserve">Acklin YP, Sommer C. Plate fixation of proximal humerus fractures using the minimally invasive anterolateral delta split approach. Oper Orthop Traumatol. 2012;24(1):61-73. doi:10.1007/s00064-011-0051-9 </w:t>
      </w:r>
      <w:r>
        <w:rPr>
          <w:i/>
          <w:color w:val="5A6469"/>
          <w:sz w:val="17"/>
        </w:rPr>
        <w:t xml:space="preserve">(serie · acceso resumen) </w:t>
      </w:r>
      <w:hyperlink r:id="rId16">
        <w:r>
          <w:rPr>
            <w:color w:val="0563C1"/>
            <w:u w:val="single"/>
            <w:sz w:val="18"/>
          </w:rPr>
          <w:t xml:space="preserve">https://doi.org/10.1007/s00064-011-0051-9</w:t>
        </w:r>
      </w:hyperlink>
    </w:p>
    <w:p>
      <w:pPr>
        <w:spacing w:after="60"/>
        <w:ind w:left="510" w:hanging="510"/>
      </w:pPr>
      <w:r>
        <w:rPr>
          <w:b/>
          <w:sz w:val="18"/>
        </w:rPr>
        <w:t xml:space="preserve">[r37] </w:t>
      </w:r>
      <w:r>
        <w:rPr>
          <w:sz w:val="18"/>
        </w:rPr>
        <w:t xml:space="preserve">Boardman ND 3rd, Cofield RH. Neurologic complications of shoulder surgery. Clin Orthop Relat Res. 1999;(368):44-53. </w:t>
      </w:r>
      <w:r>
        <w:rPr>
          <w:i/>
          <w:color w:val="5A6469"/>
          <w:sz w:val="17"/>
        </w:rPr>
        <w:t xml:space="preserve">(revision · acceso resumen) </w:t>
      </w:r>
      <w:hyperlink r:id="rId30">
        <w:r>
          <w:rPr>
            <w:color w:val="0563C1"/>
            <w:u w:val="single"/>
            <w:sz w:val="18"/>
          </w:rPr>
          <w:t xml:space="preserve">https://pubmed.ncbi.nlm.nih.gov/10613152/</w:t>
        </w:r>
      </w:hyperlink>
    </w:p>
    <w:p>
      <w:pPr>
        <w:spacing w:after="60"/>
        <w:ind w:left="510" w:hanging="510"/>
      </w:pPr>
      <w:r>
        <w:rPr>
          <w:b/>
          <w:sz w:val="18"/>
        </w:rPr>
        <w:t xml:space="preserve">[r50] </w:t>
      </w:r>
      <w:r>
        <w:rPr>
          <w:sz w:val="18"/>
        </w:rPr>
        <w:t xml:space="preserve">Gstoettner C, Laengle G, Boesendorfer A, Sturma A, Politikou O, Salminger S, et al. Free functional gracilis transfer for reconstruction of isolated anterior deltoid atrophy following surgical proximal humerus fixation. J Plast Reconstr Aesthet Surg. 2024;99:160-167. doi:10.1016/j.bjps.2024.09.003 </w:t>
      </w:r>
      <w:r>
        <w:rPr>
          <w:i/>
          <w:color w:val="5A6469"/>
          <w:sz w:val="17"/>
        </w:rPr>
        <w:t xml:space="preserve">(serie · acceso resumen) </w:t>
      </w:r>
      <w:hyperlink r:id="rId66">
        <w:r>
          <w:rPr>
            <w:color w:val="0563C1"/>
            <w:u w:val="single"/>
            <w:sz w:val="18"/>
          </w:rPr>
          <w:t xml:space="preserve">https://doi.org/10.1016/j.bjps.2024.09.003</w:t>
        </w:r>
      </w:hyperlink>
    </w:p>
    <w:p>
      <w:pPr>
        <w:pStyle w:val="Heading1"/>
      </w:pPr>
      <w:r>
        <w:t>Rehabilitación</w:t>
      </w:r>
    </w:p>
    <w:p>
      <w:pPr>
        <w:pStyle w:val="Heading2"/>
      </w:pPr>
      <w:r>
        <w:t>Lo poco que hay con respaldo</w:t>
      </w:r>
    </w:p>
    <w:p>
      <w:r>
        <w:rPr/>
        <w:t>No hay un protocolo con evidencia sólida. La Cochrane de 2022 comparó movilización temprana (hacia la 1.ª semana) con tardía (después de 3 semanas o más) en fracturas tratadas sin cirugía: 5 ensayos con 350 participantes, datos muy limitados [r34]. En el consenso Delphi no hubo acuerdo sobre los protocolos de rehabilitación, ni sin cirugía ni después de operar [r47]. En la serie de Acklin con delta split, se animó a la movilización activa guiada inmediata [r27].</w:t>
      </w:r>
    </w:p>
    <w:p>
      <w:pPr>
        <w:pStyle w:val="Heading2"/>
      </w:pPr>
      <w:r>
        <w:t>Lo que sí sabemos de la vía</w:t>
      </w:r>
    </w:p>
    <w:p>
      <w:r>
        <w:rPr/>
        <w:t>Los pacientes con MIPO tuvieron mejor función a los 3 y 6 meses que con ORIF [r28]; el Constant a 3 meses fue mejor con el deltoideo en el metaanálisis, sin diferencia a 12 y 24 meses [r6].</w:t>
      </w:r>
    </w:p>
    <w:p>
      <w:pPr>
        <w:pStyle w:val="Heading2"/>
      </w:pPr>
      <w:r>
        <w:t>Qué hacer en la práctica</w:t>
      </w:r>
    </w:p>
    <w:p>
      <w:r>
        <w:rPr/>
        <w:t>Proteger la separación del deltoides y el implante, fortalecer de forma progresiva y vigilar la fuerza de elevación son costumbres sin estudio que las respalde (práctica habitual / opinión experta). Si el paciente no recupera la elevación activa, piensa en el nervio: observa y pide estudio electrodiagnóstico si no hay mejoría a las 3 a 6 semanas [r37].</w:t>
      </w:r>
    </w:p>
    <w:p>
      <w:pPr>
        <w:keepNext/>
      </w:pPr>
      <w:r>
        <w:rPr>
          <w:b/>
          <w:color w:val="0F5F6B"/>
          <w:sz w:val="20"/>
        </w:rPr>
        <w:t>Referencias de este bloque</w:t>
      </w:r>
    </w:p>
    <w:p>
      <w:pPr>
        <w:spacing w:after="60"/>
        <w:ind w:left="510" w:hanging="510"/>
      </w:pPr>
      <w:r>
        <w:rPr>
          <w:b/>
          <w:sz w:val="18"/>
        </w:rPr>
        <w:t xml:space="preserve">[r6] </w:t>
      </w:r>
      <w:r>
        <w:rPr>
          <w:sz w:val="18"/>
        </w:rPr>
        <w:t xml:space="preserve">Wu Z, Shen W. An updated systematic review and meta‑analysis comparing deltoid‑split approach with deltopectoral approach for proximal humerus fractures. Exp Ther Med. 2023;25(6):296. doi:10.3892/etm.2023.11995 </w:t>
      </w:r>
      <w:r>
        <w:rPr>
          <w:i/>
          <w:color w:val="5A6469"/>
          <w:sz w:val="17"/>
        </w:rPr>
        <w:t xml:space="preserve">(RS-MA · acceso abierto) </w:t>
      </w:r>
      <w:hyperlink r:id="rId63">
        <w:r>
          <w:rPr>
            <w:color w:val="0563C1"/>
            <w:u w:val="single"/>
            <w:sz w:val="18"/>
          </w:rPr>
          <w:t xml:space="preserve">https://doi.org/10.3892/etm.2023.11995</w:t>
        </w:r>
      </w:hyperlink>
    </w:p>
    <w:p>
      <w:pPr>
        <w:spacing w:after="60"/>
        <w:ind w:left="510" w:hanging="510"/>
      </w:pPr>
      <w:r>
        <w:rPr>
          <w:b/>
          <w:sz w:val="18"/>
        </w:rPr>
        <w:t xml:space="preserve">[r27] </w:t>
      </w:r>
      <w:r>
        <w:rPr>
          <w:sz w:val="18"/>
        </w:rPr>
        <w:t xml:space="preserve">Acklin YP, Sommer C. Plate fixation of proximal humerus fractures using the minimally invasive anterolateral delta split approach. Oper Orthop Traumatol. 2012;24(1):61-73. doi:10.1007/s00064-011-0051-9 </w:t>
      </w:r>
      <w:r>
        <w:rPr>
          <w:i/>
          <w:color w:val="5A6469"/>
          <w:sz w:val="17"/>
        </w:rPr>
        <w:t xml:space="preserve">(serie · acceso resumen) </w:t>
      </w:r>
      <w:hyperlink r:id="rId16">
        <w:r>
          <w:rPr>
            <w:color w:val="0563C1"/>
            <w:u w:val="single"/>
            <w:sz w:val="18"/>
          </w:rPr>
          <w:t xml:space="preserve">https://doi.org/10.1007/s00064-011-0051-9</w:t>
        </w:r>
      </w:hyperlink>
    </w:p>
    <w:p>
      <w:pPr>
        <w:spacing w:after="60"/>
        <w:ind w:left="510" w:hanging="510"/>
      </w:pPr>
      <w:r>
        <w:rPr>
          <w:b/>
          <w:sz w:val="18"/>
        </w:rPr>
        <w:t xml:space="preserve">[r28] </w:t>
      </w:r>
      <w:r>
        <w:rPr>
          <w:sz w:val="18"/>
        </w:rPr>
        <w:t xml:space="preserve">Lin T, Xiao B, Ma X, Fu D, Yang S. Minimally invasive plate osteosynthesis with a locking compression plate is superior to open reduction and internal fixation in the management of the proximal humerus fractures. BMC Musculoskelet Disord. 2014;15:206. doi:10.1186/1471-2474-15-206 </w:t>
      </w:r>
      <w:r>
        <w:rPr>
          <w:i/>
          <w:color w:val="5A6469"/>
          <w:sz w:val="17"/>
        </w:rPr>
        <w:t xml:space="preserve">(cohorte · acceso abierto) </w:t>
      </w:r>
      <w:hyperlink r:id="rId17">
        <w:r>
          <w:rPr>
            <w:color w:val="0563C1"/>
            <w:u w:val="single"/>
            <w:sz w:val="18"/>
          </w:rPr>
          <w:t xml:space="preserve">https://doi.org/10.1186/1471-2474-15-206</w:t>
        </w:r>
      </w:hyperlink>
    </w:p>
    <w:p>
      <w:pPr>
        <w:spacing w:after="60"/>
        <w:ind w:left="510" w:hanging="510"/>
      </w:pPr>
      <w:r>
        <w:rPr>
          <w:b/>
          <w:sz w:val="18"/>
        </w:rPr>
        <w:t xml:space="preserve">[r34]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resumen) </w:t>
      </w:r>
      <w:hyperlink r:id="rId27">
        <w:r>
          <w:rPr>
            <w:color w:val="0563C1"/>
            <w:u w:val="single"/>
            <w:sz w:val="18"/>
          </w:rPr>
          <w:t xml:space="preserve">https://doi.org/10.1002/14651858.CD000434.pub5</w:t>
        </w:r>
      </w:hyperlink>
    </w:p>
    <w:p>
      <w:pPr>
        <w:spacing w:after="60"/>
        <w:ind w:left="510" w:hanging="510"/>
      </w:pPr>
      <w:r>
        <w:rPr>
          <w:b/>
          <w:sz w:val="18"/>
        </w:rPr>
        <w:t xml:space="preserve">[r37] </w:t>
      </w:r>
      <w:r>
        <w:rPr>
          <w:sz w:val="18"/>
        </w:rPr>
        <w:t xml:space="preserve">Boardman ND 3rd, Cofield RH. Neurologic complications of shoulder surgery. Clin Orthop Relat Res. 1999;(368):44-53. </w:t>
      </w:r>
      <w:r>
        <w:rPr>
          <w:i/>
          <w:color w:val="5A6469"/>
          <w:sz w:val="17"/>
        </w:rPr>
        <w:t xml:space="preserve">(revision · acceso resumen) </w:t>
      </w:r>
      <w:hyperlink r:id="rId30">
        <w:r>
          <w:rPr>
            <w:color w:val="0563C1"/>
            <w:u w:val="single"/>
            <w:sz w:val="18"/>
          </w:rPr>
          <w:t xml:space="preserve">https://pubmed.ncbi.nlm.nih.gov/10613152/</w:t>
        </w:r>
      </w:hyperlink>
    </w:p>
    <w:p>
      <w:pPr>
        <w:spacing w:after="60"/>
        <w:ind w:left="510" w:hanging="510"/>
      </w:pPr>
      <w:r>
        <w:rPr>
          <w:b/>
          <w:sz w:val="18"/>
        </w:rPr>
        <w:t xml:space="preserve">[r47] </w:t>
      </w:r>
      <w:r>
        <w:rPr>
          <w:sz w:val="18"/>
        </w:rPr>
        <w:t xml:space="preserve">Williams AA, Dey Hazra RO, Dornan G, Abboud JA, Abrams JS, Green A, et al. Consensus statement on the treatment of proximal humerus fractures: a Delphi approach by the Neer Circle of the American Shoulder and Elbow Surgeons. J Shoulder Elbow Surg. 2025;34(8):1977-1988. doi:10.1016/j.jse.2024.12.005 </w:t>
      </w:r>
      <w:r>
        <w:rPr>
          <w:i/>
          <w:color w:val="5A6469"/>
          <w:sz w:val="17"/>
        </w:rPr>
        <w:t xml:space="preserve">(guia · acceso resumen) </w:t>
      </w:r>
      <w:hyperlink r:id="rId49">
        <w:r>
          <w:rPr>
            <w:color w:val="0563C1"/>
            <w:u w:val="single"/>
            <w:sz w:val="18"/>
          </w:rPr>
          <w:t xml:space="preserve">https://doi.org/10.1016/j.jse.2024.12.005</w:t>
        </w:r>
      </w:hyperlink>
    </w:p>
    <w:p>
      <w:pPr>
        <w:pStyle w:val="Heading1"/>
      </w:pPr>
      <w:r>
        <w:t>Guías y consensos</w:t>
      </w:r>
    </w:p>
    <w:p>
      <w:pPr>
        <w:pStyle w:val="Heading2"/>
      </w:pPr>
      <w:r>
        <w:t>Qué dicen</w:t>
      </w:r>
    </w:p>
    <w:p>
      <w:pPr>
        <w:pStyle w:val="ListBullet"/>
      </w:pPr>
      <w:r>
        <w:rPr/>
        <w:t>La Cochrane de 2022 es la revisión de referencia de tratamientos en fractura del húmero proximal: 47 ensayos, 3179 participantes [r34].</w:t>
      </w:r>
    </w:p>
    <w:p>
      <w:pPr>
        <w:pStyle w:val="ListBullet"/>
      </w:pPr>
      <w:r>
        <w:rPr/>
        <w:t>El consenso Delphi de la Neer Circle (86 expertos identificados) acordó el valor de la TC con reconstrucción 3D y la cirugía en el joven sano con fracturas de 3 y 4 partes; no hubo acuerdo sobre rehabilitación [r47].</w:t>
      </w:r>
    </w:p>
    <w:p>
      <w:pPr>
        <w:pStyle w:val="ListBullet"/>
      </w:pPr>
      <w:r>
        <w:rPr/>
        <w:t>Los criterios de adecuación del Colegio Americano de Radiología (2024) pusieron la radiografía como primer estudio ante dolor agudo de hombro [r46].</w:t>
      </w:r>
    </w:p>
    <w:p>
      <w:r>
        <w:rPr/>
        <w:t>Ninguna de estas tres fuentes elige un abordaje por ti. Eso se apoya en los estudios de comparación de las secciones anteriores y en la ficha de la AO [r1][r26].</w:t>
      </w:r>
    </w:p>
    <w:p>
      <w:pPr>
        <w:keepNext/>
      </w:pPr>
      <w:r>
        <w:rPr>
          <w:b/>
          <w:color w:val="0F5F6B"/>
          <w:sz w:val="20"/>
        </w:rPr>
        <w:t>Referencias de este bloque</w:t>
      </w:r>
    </w:p>
    <w:p>
      <w:pPr>
        <w:spacing w:after="60"/>
        <w:ind w:left="510" w:hanging="510"/>
      </w:pPr>
      <w:r>
        <w:rPr>
          <w:b/>
          <w:sz w:val="18"/>
        </w:rPr>
        <w:t xml:space="preserve">[r1] </w:t>
      </w:r>
      <w:r>
        <w:rPr>
          <w:sz w:val="18"/>
        </w:rPr>
        <w:t xml:space="preserve">Jaeger M, Leung F, Li W. Transdeltoid lateral approach to the proximal humerus [Internet]. En: AO Surgery Reference. Davos: AO Foundation [consultado 2026 oct 12]. Disponible en: https://surgeryreference.aofoundation.org/orthopedic-trauma/adult-trauma/proximal-humerus/approach/transdeltoid-lateral-approach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https://surgeryreference.aofoundation.org/orthopedic-trauma/adult-trauma/proximal-humerus/approach/transdeltoid-lateral-approach</w:t>
        </w:r>
      </w:hyperlink>
    </w:p>
    <w:p>
      <w:pPr>
        <w:spacing w:after="60"/>
        <w:ind w:left="510" w:hanging="510"/>
      </w:pPr>
      <w:r>
        <w:rPr>
          <w:b/>
          <w:sz w:val="18"/>
        </w:rPr>
        <w:t xml:space="preserve">[r26] </w:t>
      </w:r>
      <w:r>
        <w:rPr>
          <w:sz w:val="18"/>
        </w:rPr>
        <w:t xml:space="preserve">Jaeger M, Leung F, Li W. Anterolateral approach to the proximal humerus [Internet]. En: AO Surgery Reference. Davos: AO Foundation [consultado 2026 oct 12]. Disponible en: https://surgeryreference.aofoundation.org/orthopedic-trauma/adult-trauma/proximal-humerus/approach/anterolateral-approach </w:t>
      </w:r>
      <w:r>
        <w:rPr>
          <w:i/>
          <w:color w:val="5A6469"/>
          <w:sz w:val="17"/>
        </w:rPr>
        <w:t xml:space="preserve">(web-oficial · acceso abierto) </w:t>
      </w:r>
      <w:hyperlink r:id="rId15">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[r34]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resumen) </w:t>
      </w:r>
      <w:hyperlink r:id="rId27">
        <w:r>
          <w:rPr>
            <w:color w:val="0563C1"/>
            <w:u w:val="single"/>
            <w:sz w:val="18"/>
          </w:rPr>
          <w:t xml:space="preserve">https://doi.org/10.1002/14651858.CD000434.pub5</w:t>
        </w:r>
      </w:hyperlink>
    </w:p>
    <w:p>
      <w:pPr>
        <w:spacing w:after="60"/>
        <w:ind w:left="510" w:hanging="510"/>
      </w:pPr>
      <w:r>
        <w:rPr>
          <w:b/>
          <w:sz w:val="18"/>
        </w:rPr>
        <w:t xml:space="preserve">[r46] </w:t>
      </w:r>
      <w:r>
        <w:rPr>
          <w:sz w:val="18"/>
        </w:rPr>
        <w:t xml:space="preserve">Expert Panel on Musculoskeletal Imaging; Laur O, Ha AS, Bartolotta RJ, Avery R, Bateni CP, et al. ACR Appropriateness Criteria® Acute Shoulder Pain: 2024 Update. J Am Coll Radiol. 2025;22(5S):S36-S47. doi:10.1016/j.jacr.2025.02.015 </w:t>
      </w:r>
      <w:r>
        <w:rPr>
          <w:i/>
          <w:color w:val="5A6469"/>
          <w:sz w:val="17"/>
        </w:rPr>
        <w:t xml:space="preserve">(guia · acceso resumen) </w:t>
      </w:r>
      <w:hyperlink r:id="rId48">
        <w:r>
          <w:rPr>
            <w:color w:val="0563C1"/>
            <w:u w:val="single"/>
            <w:sz w:val="18"/>
          </w:rPr>
          <w:t xml:space="preserve">https://doi.org/10.1016/j.jacr.2025.02.015</w:t>
        </w:r>
      </w:hyperlink>
    </w:p>
    <w:p>
      <w:pPr>
        <w:spacing w:after="60"/>
        <w:ind w:left="510" w:hanging="510"/>
      </w:pPr>
      <w:r>
        <w:rPr>
          <w:b/>
          <w:sz w:val="18"/>
        </w:rPr>
        <w:t xml:space="preserve">[r47] </w:t>
      </w:r>
      <w:r>
        <w:rPr>
          <w:sz w:val="18"/>
        </w:rPr>
        <w:t xml:space="preserve">Williams AA, Dey Hazra RO, Dornan G, Abboud JA, Abrams JS, Green A, et al. Consensus statement on the treatment of proximal humerus fractures: a Delphi approach by the Neer Circle of the American Shoulder and Elbow Surgeons. J Shoulder Elbow Surg. 2025;34(8):1977-1988. doi:10.1016/j.jse.2024.12.005 </w:t>
      </w:r>
      <w:r>
        <w:rPr>
          <w:i/>
          <w:color w:val="5A6469"/>
          <w:sz w:val="17"/>
        </w:rPr>
        <w:t xml:space="preserve">(guia · acceso resumen) </w:t>
      </w:r>
      <w:hyperlink r:id="rId49">
        <w:r>
          <w:rPr>
            <w:color w:val="0563C1"/>
            <w:u w:val="single"/>
            <w:sz w:val="18"/>
          </w:rPr>
          <w:t xml:space="preserve">https://doi.org/10.1016/j.jse.2024.12.005</w:t>
        </w:r>
      </w:hyperlink>
    </w:p>
    <w:p>
      <w:pPr>
        <w:pStyle w:val="Heading1"/>
      </w:pPr>
      <w:r>
        <w:t>Perlas y trampas</w:t>
      </w:r>
    </w:p>
    <w:p>
      <w:pPr>
        <w:pStyle w:val="Heading2"/>
      </w:pPr>
      <w:r>
        <w:t>Perlas</w:t>
      </w:r>
    </w:p>
    <w:p>
      <w:pPr>
        <w:pStyle w:val="ListBullet"/>
      </w:pPr>
      <w:r>
        <w:rPr/>
        <w:t>Al abducir, el nervio sube hacia el acromion: con 60° de abducción vertical, el borde superior pasó de 66,6 mm a 53,9 mm del acromion medio, mientras que la flexión no cambió su posición [r9].</w:t>
      </w:r>
    </w:p>
    <w:p>
      <w:pPr>
        <w:pStyle w:val="ListBullet"/>
      </w:pPr>
      <w:r>
        <w:rPr/>
        <w:t>Por el rafe anterolateral, en 20 hombros de cadáver el nervio apareció bajo el rafe, a unos 35 mm del relieve de la tuberosidad mayor, y el único ramo que lo atravesaba era el tronco motor [r17].</w:t>
      </w:r>
    </w:p>
    <w:p>
      <w:pPr>
        <w:pStyle w:val="ListBullet"/>
      </w:pPr>
      <w:r>
        <w:rPr/>
        <w:t>Entre dos vasos epifisarios queda una franja lateral de 30 mm sin vasos penetrantes, que puede ser un buen lecho para la placa; con ella puesta, el vaso anterior quedó a 4 mm y el posterior a 7 mm [r18].</w:t>
      </w:r>
    </w:p>
    <w:p>
      <w:pPr>
        <w:pStyle w:val="ListBullet"/>
      </w:pPr>
      <w:r>
        <w:rPr/>
        <w:t>El largo del brazo orienta poco: la correlación con la distancia al nervio fue moderada (r 0,447) y la ubicación solo fue predecible en 18 % de 37 pacientes [r19].</w:t>
      </w:r>
    </w:p>
    <w:p>
      <w:pPr>
        <w:pStyle w:val="ListBullet"/>
      </w:pPr>
      <w:r>
        <w:rPr/>
        <w:t>Con placa percutánea y guía externa, los 2 orificios superiores quedaron a 15,1 mm por encima del nervio en promedio [r20]; con otra guía, la distancia menor al nervio fue de 4,5 mm [r11].</w:t>
      </w:r>
    </w:p>
    <w:p>
      <w:pPr>
        <w:pStyle w:val="ListBullet"/>
      </w:pPr>
      <w:r>
        <w:rPr/>
        <w:t>La L invertida abre 151,75° de arco de exposición lateral al surco bicipital, frente a 105,02° del deltoideo simple, a cambio de más disección y de vigilar la tensión del axilar [r21].</w:t>
      </w:r>
    </w:p>
    <w:p>
      <w:pPr>
        <w:pStyle w:val="ListBullet"/>
      </w:pPr>
      <w:r>
        <w:rPr/>
        <w:t>En el mini-open del manguito por separación del deltoides, el grosor del deltoides anterior no cambió de forma significativa tras la cirugía, mientras que con la reparación abierta convencional bajó a los 6 y a los 12 meses [r22].</w:t>
      </w:r>
    </w:p>
    <w:p>
      <w:pPr>
        <w:pStyle w:val="Heading2"/>
      </w:pPr>
      <w:r>
        <w:t>Trampas</w:t>
      </w:r>
    </w:p>
    <w:p>
      <w:pPr>
        <w:pStyle w:val="ListBullet"/>
      </w:pPr>
      <w:r>
        <w:rPr/>
        <w:t>Tratar los 5 cm como número mágico: casi 20 % de 51 cadáveres lo violaba [r2], y en 37 pacientes operados la distancia osciló entre 5,5 y 6,6 cm [r19].</w:t>
      </w:r>
    </w:p>
    <w:p>
      <w:pPr>
        <w:pStyle w:val="ListBullet"/>
      </w:pPr>
      <w:r>
        <w:rPr/>
        <w:t>Abrir el separador al máximo y olvidarlo: en cadáver el alargamiento medio del nervio fue de 8,42 mm y creció de forma progresiva e irreversible [r3].</w:t>
      </w:r>
    </w:p>
    <w:p>
      <w:pPr>
        <w:pStyle w:val="ListBullet"/>
      </w:pPr>
      <w:r>
        <w:rPr/>
        <w:t>Subir demasiado la placa: 9,5 % de 74 pacientes tuvo pinzamiento subacromial por una placa demasiado proximal [r23].</w:t>
      </w:r>
    </w:p>
    <w:p>
      <w:pPr>
        <w:pStyle w:val="ListBullet"/>
      </w:pPr>
      <w:r>
        <w:rPr/>
        <w:t>Insertar la placa a ciegas bajo el deltoides: en 10 húmeros el nervio cruzó la placa en todos, y una rama se lesionó en un brazo [r24].</w:t>
      </w:r>
    </w:p>
    <w:p>
      <w:pPr>
        <w:pStyle w:val="ListBullet"/>
      </w:pPr>
      <w:r>
        <w:rPr/>
        <w:t>Prolongar la separación unos centímetros de más: pasar de 5 cm bajo el acromion puede paralizar la porción anterior del deltoides [r1].</w:t>
      </w:r>
    </w:p>
    <w:p>
      <w:pPr>
        <w:pStyle w:val="ListBullet"/>
      </w:pPr>
      <w:r>
        <w:rPr/>
        <w:t>Elegir la vía por comodidad en una fractura de 4 partes: una serie halló Constant menor con deltoideo mínimamente invasivo en esas fracturas [r14], aunque otra con 84 pacientes de 3 y 4 partes no halló diferencia funcional [r25].</w:t>
      </w:r>
    </w:p>
    <w:p>
      <w:pPr>
        <w:pStyle w:val="ListBullet"/>
      </w:pPr>
      <w:r>
        <w:rPr/>
        <w:t>Fiarse solo del examen para descartar una lesión del nervio: la clínica subestimó lo que mostró el EMG [r16][r15].</w:t>
      </w:r>
    </w:p>
    <w:p>
      <w:pPr>
        <w:pStyle w:val="Heading1"/>
      </w:pPr>
      <w:r>
        <w:t>Preguntas de autoevaluación</w:t>
      </w:r>
    </w:p>
    <w:p>
      <w:pPr>
        <w:keepNext/>
      </w:pPr>
      <w:r>
        <w:rPr>
          <w:b/>
        </w:rPr>
        <w:t>1. Según la AO, ¿a qué distancia del borde lateral del acromion cruza el húmero la rama motora anterior del nervio axilar?</w:t>
      </w:r>
    </w:p>
    <w:p>
      <w:pPr>
        <w:spacing w:after="20"/>
        <w:ind w:left="454"/>
      </w:pPr>
      <w:r>
        <w:t>a) Unos 3 cm</w:t>
      </w:r>
    </w:p>
    <w:p>
      <w:pPr>
        <w:spacing w:after="20"/>
        <w:ind w:left="454"/>
      </w:pPr>
      <w:r>
        <w:t>b) Unos 10 cm</w:t>
      </w:r>
    </w:p>
    <w:p>
      <w:pPr>
        <w:spacing w:after="20"/>
        <w:ind w:left="454"/>
      </w:pPr>
      <w:r>
        <w:t>c) Unos 6 cm</w:t>
      </w:r>
    </w:p>
    <w:p>
      <w:pPr>
        <w:spacing w:after="20"/>
        <w:ind w:left="454"/>
      </w:pPr>
      <w:r>
        <w:t>d) Unos 12 cm</w:t>
      </w:r>
    </w:p>
    <w:p>
      <w:r>
        <w:rPr>
          <w:b/>
        </w:rPr>
        <w:t xml:space="preserve">Respuesta: c. </w:t>
      </w:r>
      <w:r>
        <w:rPr/>
        <w:t>La AO la sitúa unos 6 cm distal al borde lateral del acromion y juzga fiable esa distancia [r1]. Aun así, en 51 cadáveres casi 20 % tuvo el nervio a menos de 5 cm en algún punto [r2].</w:t>
      </w:r>
    </w:p>
    <w:p>
      <w:pPr>
        <w:keepNext/>
      </w:pPr>
      <w:r>
        <w:rPr>
          <w:b/>
        </w:rPr>
        <w:t>2. ¿Qué hallazgo de Burkhead pone en duda la regla de 5 cm?</w:t>
      </w:r>
    </w:p>
    <w:p>
      <w:pPr>
        <w:spacing w:after="20"/>
        <w:ind w:left="454"/>
      </w:pPr>
      <w:r>
        <w:t>a) El nervio siempre estaba a más de 7 cm</w:t>
      </w:r>
    </w:p>
    <w:p>
      <w:pPr>
        <w:spacing w:after="20"/>
        <w:ind w:left="454"/>
      </w:pPr>
      <w:r>
        <w:t>b) Casi 20 % de 51 cadáveres tuvo el nervio a menos de 5 cm del acromion en algún punto</w:t>
      </w:r>
    </w:p>
    <w:p>
      <w:pPr>
        <w:spacing w:after="20"/>
        <w:ind w:left="454"/>
      </w:pPr>
      <w:r>
        <w:t>c) La abducción alejaba el nervio del acromion</w:t>
      </w:r>
    </w:p>
    <w:p>
      <w:pPr>
        <w:spacing w:after="20"/>
        <w:ind w:left="454"/>
      </w:pPr>
      <w:r>
        <w:t>d) No había diferencias entre hombres y mujeres</w:t>
      </w:r>
    </w:p>
    <w:p>
      <w:r>
        <w:rPr>
          <w:b/>
        </w:rPr>
        <w:t xml:space="preserve">Respuesta: b. </w:t>
      </w:r>
      <w:r>
        <w:rPr/>
        <w:t>En 51 cadáveres (102 hombros), casi 20 % tuvo el nervio a menos de 5 cm, sobre todo mujeres de brazo corto, con un mínimo de 3,1 cm; y la abducción lo acercó cerca de 30 % [r2].</w:t>
      </w:r>
    </w:p>
    <w:p>
      <w:pPr>
        <w:keepNext/>
      </w:pPr>
      <w:r>
        <w:rPr>
          <w:b/>
        </w:rPr>
        <w:t>3. En 10 cadáveres con un separador abierto hasta 6 clics, ¿qué deformación media final del nervio axilar se midió?</w:t>
      </w:r>
    </w:p>
    <w:p>
      <w:pPr>
        <w:spacing w:after="20"/>
        <w:ind w:left="454"/>
      </w:pPr>
      <w:r>
        <w:t>a) 5 %</w:t>
      </w:r>
    </w:p>
    <w:p>
      <w:pPr>
        <w:spacing w:after="20"/>
        <w:ind w:left="454"/>
      </w:pPr>
      <w:r>
        <w:t>b) 12 %</w:t>
      </w:r>
    </w:p>
    <w:p>
      <w:pPr>
        <w:spacing w:after="20"/>
        <w:ind w:left="454"/>
      </w:pPr>
      <w:r>
        <w:t>c) 99 %</w:t>
      </w:r>
    </w:p>
    <w:p>
      <w:pPr>
        <w:spacing w:after="20"/>
        <w:ind w:left="454"/>
      </w:pPr>
      <w:r>
        <w:t>d) 51 %</w:t>
      </w:r>
    </w:p>
    <w:p>
      <w:r>
        <w:rPr>
          <w:b/>
        </w:rPr>
        <w:t xml:space="preserve">Respuesta: d. </w:t>
      </w:r>
      <w:r>
        <w:rPr/>
        <w:t>La deformación final media fue de 51 % (28 % a 99 %), con alargamiento medio de 8,42 mm y ruptura de mielina en el estudio microscópico [r3]. El 99 % fue el máximo del rango, no la media [r3].</w:t>
      </w:r>
    </w:p>
    <w:p>
      <w:pPr>
        <w:keepNext/>
      </w:pPr>
      <w:r>
        <w:rPr>
          <w:b/>
        </w:rPr>
        <w:t>4. ¿Qué movimiento del hombro acercó el nervio axilar al acromion en cadáver?</w:t>
      </w:r>
    </w:p>
    <w:p>
      <w:pPr>
        <w:spacing w:after="20"/>
        <w:ind w:left="454"/>
      </w:pPr>
      <w:r>
        <w:t>a) Flexión anterior</w:t>
      </w:r>
    </w:p>
    <w:p>
      <w:pPr>
        <w:spacing w:after="20"/>
        <w:ind w:left="454"/>
      </w:pPr>
      <w:r>
        <w:t>b) Abducción vertical de 60°</w:t>
      </w:r>
    </w:p>
    <w:p>
      <w:pPr>
        <w:spacing w:after="20"/>
        <w:ind w:left="454"/>
      </w:pPr>
      <w:r>
        <w:t>c) Rotación interna</w:t>
      </w:r>
    </w:p>
    <w:p>
      <w:pPr>
        <w:spacing w:after="20"/>
        <w:ind w:left="454"/>
      </w:pPr>
      <w:r>
        <w:t>d) Extensión</w:t>
      </w:r>
    </w:p>
    <w:p>
      <w:r>
        <w:rPr>
          <w:b/>
        </w:rPr>
        <w:t xml:space="preserve">Respuesta: b. </w:t>
      </w:r>
      <w:r>
        <w:rPr/>
        <w:t>Con abducción vertical de 60°, el borde superior del nervio pasó de 66,6 a 53,9 mm y el inferior de 75,7 a 61,6 mm del acromion medio; la flexión no cambió su posición [r9].</w:t>
      </w:r>
    </w:p>
    <w:p>
      <w:pPr>
        <w:keepNext/>
      </w:pPr>
      <w:r>
        <w:rPr>
          <w:b/>
        </w:rPr>
        <w:t>5. En 20 hombros con placa percutánea y guía por vía lateral, ¿qué fila de orificios cruzó el nervio axilar en todos los hombros?</w:t>
      </w:r>
    </w:p>
    <w:p>
      <w:pPr>
        <w:spacing w:after="20"/>
        <w:ind w:left="454"/>
      </w:pPr>
      <w:r>
        <w:t>a) Fila A</w:t>
      </w:r>
    </w:p>
    <w:p>
      <w:pPr>
        <w:spacing w:after="20"/>
        <w:ind w:left="454"/>
      </w:pPr>
      <w:r>
        <w:t>b) Fila B</w:t>
      </w:r>
    </w:p>
    <w:p>
      <w:pPr>
        <w:spacing w:after="20"/>
        <w:ind w:left="454"/>
      </w:pPr>
      <w:r>
        <w:t>c) Fila G</w:t>
      </w:r>
    </w:p>
    <w:p>
      <w:pPr>
        <w:spacing w:after="20"/>
        <w:ind w:left="454"/>
      </w:pPr>
      <w:r>
        <w:t>d) Fila D</w:t>
      </w:r>
    </w:p>
    <w:p>
      <w:r>
        <w:rPr>
          <w:b/>
        </w:rPr>
        <w:t xml:space="preserve">Respuesta: d. </w:t>
      </w:r>
      <w:r>
        <w:rPr/>
        <w:t>El nervio atravesó la fila D en todos los hombros, la C en 11 y ambos orificios de la E en 16 [r11].</w:t>
      </w:r>
    </w:p>
    <w:p>
      <w:pPr>
        <w:keepNext/>
      </w:pPr>
      <w:r>
        <w:rPr>
          <w:b/>
        </w:rPr>
        <w:t>6. En 26 pacientes con EMG a las 3 a 4 semanas tras placa por deltoideo mínimamente invasivo, ¿dónde aparecieron las 8 lesiones incompletas del axilar?</w:t>
      </w:r>
    </w:p>
    <w:p>
      <w:pPr>
        <w:spacing w:after="20"/>
        <w:ind w:left="454"/>
      </w:pPr>
      <w:r>
        <w:t>a) Solo entre quienes recibieron el tornillo de apoyo medial</w:t>
      </w:r>
    </w:p>
    <w:p>
      <w:pPr>
        <w:spacing w:after="20"/>
        <w:ind w:left="454"/>
      </w:pPr>
      <w:r>
        <w:t>b) Solo entre quienes no lo recibieron</w:t>
      </w:r>
    </w:p>
    <w:p>
      <w:pPr>
        <w:spacing w:after="20"/>
        <w:ind w:left="454"/>
      </w:pPr>
      <w:r>
        <w:t>c) Por igual en ambos grupos</w:t>
      </w:r>
    </w:p>
    <w:p>
      <w:pPr>
        <w:spacing w:after="20"/>
        <w:ind w:left="454"/>
      </w:pPr>
      <w:r>
        <w:t>d) Solo en mayores de 80 años</w:t>
      </w:r>
    </w:p>
    <w:p>
      <w:r>
        <w:rPr>
          <w:b/>
        </w:rPr>
        <w:t xml:space="preserve">Respuesta: a. </w:t>
      </w:r>
      <w:r>
        <w:rPr/>
        <w:t>Las 8 lesiones incompletas (p 0,047) aparecieron solo entre los 17 pacientes (65 %) que recibieron el tornillo de apoyo medial [r13].</w:t>
      </w:r>
    </w:p>
    <w:p>
      <w:pPr>
        <w:keepNext/>
      </w:pPr>
      <w:r>
        <w:rPr>
          <w:b/>
        </w:rPr>
        <w:t>7. En el ensayo HURA (Rouleau), ¿qué se encontró al comparar deltoideo con deltopectoral para placa bloqueada?</w:t>
      </w:r>
    </w:p>
    <w:p>
      <w:pPr>
        <w:spacing w:after="20"/>
        <w:ind w:left="454"/>
      </w:pPr>
      <w:r>
        <w:t>a) Mejor Q-DASH con deltoideo</w:t>
      </w:r>
    </w:p>
    <w:p>
      <w:pPr>
        <w:spacing w:after="20"/>
        <w:ind w:left="454"/>
      </w:pPr>
      <w:r>
        <w:t>b) Sin ninguna diferencia</w:t>
      </w:r>
    </w:p>
    <w:p>
      <w:pPr>
        <w:spacing w:after="20"/>
        <w:ind w:left="454"/>
      </w:pPr>
      <w:r>
        <w:t>c) Mejor Q-DASH con deltopectoral (12 frente a 26)</w:t>
      </w:r>
    </w:p>
    <w:p>
      <w:pPr>
        <w:spacing w:after="20"/>
        <w:ind w:left="454"/>
      </w:pPr>
      <w:r>
        <w:t>d) Más lesiones del axilar con deltopectoral</w:t>
      </w:r>
    </w:p>
    <w:p>
      <w:r>
        <w:rPr>
          <w:b/>
        </w:rPr>
        <w:t xml:space="preserve">Respuesta: c. </w:t>
      </w:r>
      <w:r>
        <w:rPr/>
        <w:t>El Q-DASH fue 12 con deltopectoral y 26 con deltoideo (P 0,003), y la hipótesis de superioridad del deltoideo fue refutada [r5]. Buecking, en cambio, no halló diferencia de Constant a 12 meses [r4].</w:t>
      </w:r>
    </w:p>
    <w:p>
      <w:pPr>
        <w:keepNext/>
      </w:pPr>
      <w:r>
        <w:rPr>
          <w:b/>
        </w:rPr>
        <w:t>8. En el metaanálisis de 14 estudios de Wu, ¿cuál fue la diferencia en la duración de la cirugía con el deltoideo?</w:t>
      </w:r>
    </w:p>
    <w:p>
      <w:pPr>
        <w:spacing w:after="20"/>
        <w:ind w:left="454"/>
      </w:pPr>
      <w:r>
        <w:t>a) 16,44 min más</w:t>
      </w:r>
    </w:p>
    <w:p>
      <w:pPr>
        <w:spacing w:after="20"/>
        <w:ind w:left="454"/>
      </w:pPr>
      <w:r>
        <w:t>b) 16,44 min menos</w:t>
      </w:r>
    </w:p>
    <w:p>
      <w:pPr>
        <w:spacing w:after="20"/>
        <w:ind w:left="454"/>
      </w:pPr>
      <w:r>
        <w:t>c) 57,99 min menos</w:t>
      </w:r>
    </w:p>
    <w:p>
      <w:pPr>
        <w:spacing w:after="20"/>
        <w:ind w:left="454"/>
      </w:pPr>
      <w:r>
        <w:t>d) Sin diferencia</w:t>
      </w:r>
    </w:p>
    <w:p>
      <w:r>
        <w:rPr>
          <w:b/>
        </w:rPr>
        <w:t xml:space="preserve">Respuesta: b. </w:t>
      </w:r>
      <w:r>
        <w:rPr/>
        <w:t>La cirugía fue 16,44 min más corta con el deltoideo (diferencia media ponderada -16,44; IC 95 %, -25,25 a -7,63); el -57,99 corresponde al sangrado en ml [r6].</w:t>
      </w:r>
    </w:p>
    <w:p>
      <w:pPr>
        <w:keepNext/>
      </w:pPr>
      <w:r>
        <w:rPr>
          <w:b/>
        </w:rPr>
        <w:t>9. ¿Qué OR de lesión del axilar halló el metaanálisis de Li para MIPO frente a ORIF?</w:t>
      </w:r>
    </w:p>
    <w:p>
      <w:pPr>
        <w:spacing w:after="20"/>
        <w:ind w:left="454"/>
      </w:pPr>
      <w:r>
        <w:t>a) 0,74</w:t>
      </w:r>
    </w:p>
    <w:p>
      <w:pPr>
        <w:spacing w:after="20"/>
        <w:ind w:left="454"/>
      </w:pPr>
      <w:r>
        <w:t>b) 1,00</w:t>
      </w:r>
    </w:p>
    <w:p>
      <w:pPr>
        <w:spacing w:after="20"/>
        <w:ind w:left="454"/>
      </w:pPr>
      <w:r>
        <w:t>c) 4,88</w:t>
      </w:r>
    </w:p>
    <w:p>
      <w:pPr>
        <w:spacing w:after="20"/>
        <w:ind w:left="454"/>
      </w:pPr>
      <w:r>
        <w:t>d) 23,25</w:t>
      </w:r>
    </w:p>
    <w:p>
      <w:r>
        <w:rPr>
          <w:b/>
        </w:rPr>
        <w:t xml:space="preserve">Respuesta: c. </w:t>
      </w:r>
      <w:r>
        <w:rPr/>
        <w:t>OR 4,88 (IC 95 %, 1,03 a 23,25; P 0,05) en 4 estudios con 305 pacientes; 0,74 fue el OR de complicaciones totales, sin diferencia [r7]. Otras revisiones no reproducen este hallazgo [r8][r6].</w:t>
      </w:r>
    </w:p>
    <w:p>
      <w:pPr>
        <w:keepNext/>
      </w:pPr>
      <w:r>
        <w:rPr>
          <w:b/>
        </w:rPr>
        <w:t>10. Tras placa por abordaje deltoideo, ¿qué mostró el EMG en la serie de Westphal?</w:t>
      </w:r>
    </w:p>
    <w:p>
      <w:pPr>
        <w:spacing w:after="20"/>
        <w:ind w:left="454"/>
      </w:pPr>
      <w:r>
        <w:t>a) Ninguna lesión del axilar</w:t>
      </w:r>
    </w:p>
    <w:p>
      <w:pPr>
        <w:spacing w:after="20"/>
        <w:ind w:left="454"/>
      </w:pPr>
      <w:r>
        <w:t>b) 10 % de lesiones permanentes, más de lo esperado por la clínica</w:t>
      </w:r>
    </w:p>
    <w:p>
      <w:pPr>
        <w:spacing w:after="20"/>
        <w:ind w:left="454"/>
      </w:pPr>
      <w:r>
        <w:t>c) Parálisis completa en la mitad</w:t>
      </w:r>
    </w:p>
    <w:p>
      <w:pPr>
        <w:spacing w:after="20"/>
        <w:ind w:left="454"/>
      </w:pPr>
      <w:r>
        <w:t>d) Solo lesiones sensitivas</w:t>
      </w:r>
    </w:p>
    <w:p>
      <w:r>
        <w:rPr>
          <w:b/>
        </w:rPr>
        <w:t xml:space="preserve">Respuesta: b. </w:t>
      </w:r>
      <w:r>
        <w:rPr/>
        <w:t>El 10 % de lesiones permanentes del axilar superó lo esperado según el examen clínico, y los autores concluyen que la evaluación electrofisiológica es más apropiada [r16].</w:t>
      </w:r>
    </w:p>
    <w:p>
      <w:pPr>
        <w:keepNext/>
      </w:pPr>
      <w:r>
        <w:rPr>
          <w:b/>
        </w:rPr>
        <w:t>11. En una serie de 74 pacientes con MIPO anterolateral, ¿qué causó pinzamiento subacromial en 9,5 %?</w:t>
      </w:r>
    </w:p>
    <w:p>
      <w:pPr>
        <w:spacing w:after="20"/>
        <w:ind w:left="454"/>
      </w:pPr>
      <w:r>
        <w:t>a) Varo</w:t>
      </w:r>
    </w:p>
    <w:p>
      <w:pPr>
        <w:spacing w:after="20"/>
        <w:ind w:left="454"/>
      </w:pPr>
      <w:r>
        <w:t>b) Tornillo de apoyo medial</w:t>
      </w:r>
    </w:p>
    <w:p>
      <w:pPr>
        <w:spacing w:after="20"/>
        <w:ind w:left="454"/>
      </w:pPr>
      <w:r>
        <w:t>c) Placa demasiado proximal</w:t>
      </w:r>
    </w:p>
    <w:p>
      <w:pPr>
        <w:spacing w:after="20"/>
        <w:ind w:left="454"/>
      </w:pPr>
      <w:r>
        <w:t>d) Necrosis avascular</w:t>
      </w:r>
    </w:p>
    <w:p>
      <w:r>
        <w:rPr>
          <w:b/>
        </w:rPr>
        <w:t xml:space="preserve">Respuesta: c. </w:t>
      </w:r>
      <w:r>
        <w:rPr/>
        <w:t>El pinzamiento total fue de 16,2 %; la placa demasiado proximal explicó 9,5 % y el varo 6,7 % [r23].</w:t>
      </w:r>
    </w:p>
    <w:p>
      <w:pPr>
        <w:keepNext/>
      </w:pPr>
      <w:r>
        <w:rPr>
          <w:b/>
        </w:rPr>
        <w:t>12. Para la rotura de espesor total del manguito, ¿qué sensibilidad y especificidad resumió la Cochrane para la ecografía?</w:t>
      </w:r>
    </w:p>
    <w:p>
      <w:pPr>
        <w:spacing w:after="20"/>
        <w:ind w:left="454"/>
      </w:pPr>
      <w:r>
        <w:t>a) 92 % y 93 %</w:t>
      </w:r>
    </w:p>
    <w:p>
      <w:pPr>
        <w:spacing w:after="20"/>
        <w:ind w:left="454"/>
      </w:pPr>
      <w:r>
        <w:t>b) 70 % y 50 %</w:t>
      </w:r>
    </w:p>
    <w:p>
      <w:pPr>
        <w:spacing w:after="20"/>
        <w:ind w:left="454"/>
      </w:pPr>
      <w:r>
        <w:t>c) 99 % y 60 %</w:t>
      </w:r>
    </w:p>
    <w:p>
      <w:pPr>
        <w:spacing w:after="20"/>
        <w:ind w:left="454"/>
      </w:pPr>
      <w:r>
        <w:t>d) 50 % y 99 %</w:t>
      </w:r>
    </w:p>
    <w:p>
      <w:r>
        <w:rPr>
          <w:b/>
        </w:rPr>
        <w:t xml:space="preserve">Respuesta: a. </w:t>
      </w:r>
      <w:r>
        <w:rPr/>
        <w:t>La ecografía tuvo sensibilidad de 92 % y especificidad de 93 %, similares a la RM (94 % y 93 %) y a la artro-RM (94 % y 92 %), con estudios de calidad baja o poco clara [r48].</w:t>
      </w:r>
    </w:p>
    <w:p>
      <w:pPr>
        <w:pStyle w:val="Heading1"/>
      </w:pPr>
      <w:r>
        <w:t>Lectura recomendada</w:t>
      </w:r>
    </w:p>
    <w:p>
      <w:pPr>
        <w:pStyle w:val="ListBullet"/>
      </w:pPr>
      <w:r>
        <w:t xml:space="preserve">AO Surgery Reference: Transdeltoid lateral approach to the proximal humerus (lectura recomendada) (lectura): </w:t>
      </w:r>
      <w:hyperlink r:id="rId11">
        <w:r>
          <w:rPr>
            <w:color w:val="0563C1"/>
            <w:u w:val="single"/>
          </w:rPr>
          <w:t xml:space="preserve">https://surgeryreference.aofoundation.org/orthopedic-trauma/adult-trauma/proximal-humerus/approach/transdeltoid-lateral-approach</w:t>
        </w:r>
      </w:hyperlink>
    </w:p>
    <w:p>
      <w:pPr>
        <w:pStyle w:val="ListBullet"/>
      </w:pPr>
      <w:r>
        <w:t xml:space="preserve">AO Surgery Reference: Anterolateral approach to the proximal humerus (lectura recomendada) (lectura): </w:t>
      </w:r>
      <w:hyperlink r:id="rId15">
        <w:r>
          <w:rPr>
            <w:color w:val="0563C1"/>
            <w:u w:val="single"/>
          </w:rPr>
          <w:t xml:space="preserve">https://surgeryreference.aofoundation.org/orthopedic-trauma/adult-trauma/proximal-humerus/approach/anterolateral-approach</w:t>
        </w:r>
      </w:hyperlink>
    </w:p>
    <w:p>
      <w:pPr>
        <w:pStyle w:val="ListBullet"/>
      </w:pPr>
      <w:r>
        <w:t xml:space="preserve">AO Surgery Reference: Safe zones in the humerus (lectura recomendada) (lectura): </w:t>
      </w:r>
      <w:hyperlink r:id="rId32">
        <w:r>
          <w:rPr>
            <w:color w:val="0563C1"/>
            <w:u w:val="single"/>
          </w:rPr>
          <w:t xml:space="preserve">https://surgeryreference.aofoundation.org/orthopedic-trauma/adult-trauma/proximal-humerus/approach/safe-zones-in-the-proximal-humerus</w:t>
        </w:r>
      </w:hyperlink>
    </w:p>
    <w:p>
      <w:pPr>
        <w:pStyle w:val="ListBullet"/>
      </w:pPr>
      <w:r>
        <w:t xml:space="preserve">AO Surgery Reference: Deltopectoral approach to the proximal humerus (lectura recomendada) (lectura): </w:t>
      </w:r>
      <w:hyperlink r:id="rId20">
        <w:r>
          <w:rPr>
            <w:color w:val="0563C1"/>
            <w:u w:val="single"/>
          </w:rPr>
          <w:t xml:space="preserve">https://surgeryreference.aofoundation.org/orthopedic-trauma/adult-trauma/proximal-humerus/approach/deltopectoral-approach-to-the-proximal-humerus</w:t>
        </w:r>
      </w:hyperlink>
    </w:p>
    <w:p>
      <w:pPr>
        <w:pStyle w:val="ListBullet"/>
      </w:pPr>
      <w:r>
        <w:t xml:space="preserve">Cochrane 2022: Interventions for treating proximal humeral fractures in adults (lectura): </w:t>
      </w:r>
      <w:hyperlink r:id="rId27">
        <w:r>
          <w:rPr>
            <w:color w:val="0563C1"/>
            <w:u w:val="single"/>
          </w:rPr>
          <w:t xml:space="preserve">https://doi.org/10.1002/14651858.CD000434.pub5</w:t>
        </w:r>
      </w:hyperlink>
    </w:p>
    <w:p>
      <w:pPr>
        <w:pStyle w:val="ListBullet"/>
      </w:pPr>
      <w:r>
        <w:t xml:space="preserve">ACR Appropriateness Criteria: Acute Shoulder Pain, 2024 update (lectura): </w:t>
      </w:r>
      <w:hyperlink r:id="rId48">
        <w:r>
          <w:rPr>
            <w:color w:val="0563C1"/>
            <w:u w:val="single"/>
          </w:rPr>
          <w:t xml:space="preserve">https://doi.org/10.1016/j.jacr.2025.02.015</w:t>
        </w:r>
      </w:hyperlink>
    </w:p>
    <w:p>
      <w:pPr>
        <w:pStyle w:val="ListBullet"/>
      </w:pPr>
      <w:r>
        <w:t xml:space="preserve">AO Trauma NA Fellows Webinar: Proximal Humerus Approaches, Reduction Strategies and Implants (AO Trauma North America) (video): </w:t>
      </w:r>
      <w:hyperlink r:id="rId68">
        <w:r>
          <w:rPr>
            <w:color w:val="0563C1"/>
            <w:u w:val="single"/>
          </w:rPr>
          <w:t xml:space="preserve">https://www.youtube.com/watch?v=8fXSXp1OWNI</w:t>
        </w:r>
      </w:hyperlink>
    </w:p>
    <w:p>
      <w:pPr>
        <w:pStyle w:val="Heading1"/>
      </w:pPr>
      <w:r>
        <w:t>Palabras clave</w:t>
      </w:r>
    </w:p>
    <w:p>
      <w:r>
        <w:t>abordaje deltoideo lateral · abordaje transdeltoideo · nervio axilar · zona de peligro del axilar · regla de 5 cm · MIPO · placa bloqueada · rafe del deltoides · abordaje anterolateral acromial · Mackenzie · tuberosidad mayor · fractura del húmero proximal · clavo anterógrado · silla de playa · neuropraxia · electromiografía · L invertida · abordaje anterosuperior · mini-open del manguito · sutura de tope · deltopectoral · tornillo de apoyo medial</w:t>
      </w:r>
    </w:p>
    <w:p>
      <w:pPr>
        <w:pStyle w:val="Heading1"/>
      </w:pPr>
      <w:r>
        <w:t>Para recordar</w:t>
      </w:r>
    </w:p>
    <w:p>
      <w:pPr>
        <w:pStyle w:val="ListBullet"/>
      </w:pPr>
      <w:r>
        <w:rPr/>
        <w:t>Incisión de 5 cm desde el borde lateral del acromion; no la prolongues más abajo [r1].</w:t>
      </w:r>
    </w:p>
    <w:p>
      <w:pPr>
        <w:pStyle w:val="ListBullet"/>
      </w:pPr>
      <w:r>
        <w:rPr/>
        <w:t>Nervio a 6 cm del acromion (AO); casi 20 % de cadáveres, a menos de 5 cm [r1][r2].</w:t>
      </w:r>
    </w:p>
    <w:p>
      <w:pPr>
        <w:pStyle w:val="ListBullet"/>
      </w:pPr>
      <w:r>
        <w:rPr/>
        <w:t>Palpa el nervio bajo el deltoides y deja una sutura de tope en el borde inferior [r1].</w:t>
      </w:r>
    </w:p>
    <w:p>
      <w:pPr>
        <w:pStyle w:val="ListBullet"/>
      </w:pPr>
      <w:r>
        <w:rPr/>
        <w:t>Abducir acerca el nervio al acromion; opera con el brazo en neutro [r9].</w:t>
      </w:r>
    </w:p>
    <w:p>
      <w:pPr>
        <w:pStyle w:val="ListBullet"/>
      </w:pPr>
      <w:r>
        <w:rPr/>
        <w:t>Con placa lateral, el nervio cruza la zona media de la placa [r10][r11][r12].</w:t>
      </w:r>
    </w:p>
    <w:p>
      <w:pPr>
        <w:pStyle w:val="ListBullet"/>
      </w:pPr>
      <w:r>
        <w:rPr/>
        <w:t>Tuberosidad mayor y MIPO son su terreno; en 4 partes valora el deltopectoral [r1][r14].</w:t>
      </w:r>
    </w:p>
    <w:p>
      <w:pPr>
        <w:pStyle w:val="Heading1"/>
      </w:pPr>
      <w:r>
        <w:t>Caso de staff</w:t>
      </w:r>
    </w:p>
    <w:p>
      <w:r>
        <w:rPr>
          <w:i/>
        </w:rPr>
        <w:t>Caso didáctico, inventado como tal; no corresponde a un paciente real.</w:t>
      </w:r>
    </w:p>
    <w:p>
      <w:pPr>
        <w:pStyle w:val="Heading2"/>
      </w:pPr>
      <w:r>
        <w:t>Caso didáctico de staff: tuberosidad mayor desplazada en un hombre de 52 años</w:t>
      </w:r>
    </w:p>
    <w:p>
      <w:r>
        <w:rPr/>
        <w:t>Caso sintético, sin datos de pacientes reales. Hombre de 52 años, diestro, albañil, que cae de una escalera sobre el hombro derecho. La radiografía muestra una fractura aislada de la tuberosidad mayor (2 partes), desplazada hacia arriba y atrás, con el cuello quirúrgico indemne; no hay déficit neurovascular evidente. Pide una cicatriz pequeña y volver pronto a trabajar.</w:t>
      </w:r>
    </w:p>
    <w:p>
      <w:pPr>
        <w:pStyle w:val="Heading2"/>
      </w:pPr>
      <w:r>
        <w:t>Preguntas para discutir</w:t>
      </w:r>
    </w:p>
    <w:p>
      <w:pPr>
        <w:spacing w:after="60"/>
        <w:ind w:left="510" w:hanging="340"/>
      </w:pPr>
      <w:r>
        <w:rPr>
          <w:b/>
        </w:rPr>
        <w:t xml:space="preserve">1. </w:t>
      </w:r>
      <w:r>
        <w:rPr/>
        <w:t>¿Qué abordajes considerarías y qué te inclina hacia cada uno?</w:t>
      </w:r>
    </w:p>
    <w:p>
      <w:pPr>
        <w:spacing w:after="60"/>
        <w:ind w:left="510" w:hanging="340"/>
      </w:pPr>
      <w:r>
        <w:rPr>
          <w:b/>
        </w:rPr>
        <w:t xml:space="preserve">2. </w:t>
      </w:r>
      <w:r>
        <w:rPr/>
        <w:t>¿Qué examen y qué registro haces antes de cortar?</w:t>
      </w:r>
    </w:p>
    <w:p>
      <w:pPr>
        <w:spacing w:after="60"/>
        <w:ind w:left="510" w:hanging="340"/>
      </w:pPr>
      <w:r>
        <w:rPr>
          <w:b/>
        </w:rPr>
        <w:t xml:space="preserve">3. </w:t>
      </w:r>
      <w:r>
        <w:rPr/>
        <w:t>¿Qué marcas dibujas en la piel y por qué?</w:t>
      </w:r>
    </w:p>
    <w:p>
      <w:pPr>
        <w:spacing w:after="60"/>
        <w:ind w:left="510" w:hanging="340"/>
      </w:pPr>
      <w:r>
        <w:rPr>
          <w:b/>
        </w:rPr>
        <w:t xml:space="preserve">4. </w:t>
      </w:r>
      <w:r>
        <w:rPr/>
        <w:t>Si planeas MIPO con placa, ¿qué orificios y qué tornillos vigilas?</w:t>
      </w:r>
    </w:p>
    <w:p>
      <w:pPr>
        <w:spacing w:after="60"/>
        <w:ind w:left="510" w:hanging="340"/>
      </w:pPr>
      <w:r>
        <w:rPr>
          <w:b/>
        </w:rPr>
        <w:t xml:space="preserve">5. </w:t>
      </w:r>
      <w:r>
        <w:rPr/>
        <w:t>¿Qué le dices sobre el nervio axilar y la rehabilitación?</w:t>
      </w:r>
    </w:p>
    <w:p>
      <w:pPr>
        <w:pStyle w:val="Heading2"/>
      </w:pPr>
      <w:r>
        <w:t>Resolución</w:t>
      </w:r>
    </w:p>
    <w:p>
      <w:r>
        <w:rPr/>
        <w:t>Elegir la vía: el deltopectoral sirve para casi cualquier fractura y a menudo es el preferido [r31], y la vía lateral es especialmente útil para la tuberosidad mayor [r1]; en una serie con fracturas de 3 y 4 partes, el cirujano documentó menos dificultad para reducir la tuberosidad mayor por deltoideo [r25]. Con 2 partes sin grandes complejidades, ambas son posibles y manda tu entrenamiento (opinión experta). Antes de cortar, examina y anota la fuerza del deltoides y la sensibilidad lateral del brazo; el EMG detecta más que la clínica [r16]. Dibuja una línea a 5 cm del acromion y, si vas a pasar una placa, otra 2 cm más distal [r1]. Haz una incisión de 5 cm desde el borde lateral del acromion, separa entre fibras sin pasar de 5 cm, deja una sutura de tope y palpa el nervio [r1]. Si usas placa, el nervio la cruza y los 2 orificios distales de la cabeza coinciden con su paso [r10]. Al paciente dile que la función suele ser buena, que el nervio es el riesgo propio de la vía y que, si no recupera la elevación, se estudia con EMG si no mejora entre las 3 y las 6 semanas [r37].</w:t>
      </w:r>
    </w:p>
    <w:p>
      <w:r>
        <w:rPr>
          <w:b/>
        </w:rPr>
        <w:t xml:space="preserve">Mensaje para llevarse: </w:t>
      </w:r>
      <w:r>
        <w:rPr/>
        <w:t>Se elige la vía por el patrón de fractura, tu entrenamiento y el nervio, no por el largo de la cicatriz [r8][r1].</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Jaeger M, Leung F, Li W. Transdeltoid lateral approach to the proximal humerus [Internet]. En: AO Surgery Reference. Davos: AO Foundation [consultado 2026 oct 12]. Disponible en: https://surgeryreference.aofoundation.org/orthopedic-trauma/adult-trauma/proximal-humerus/approach/transdeltoid-lateral-approach </w:t>
      </w:r>
      <w:r>
        <w:rPr>
          <w:i/>
          <w:color w:val="5A6469"/>
          <w:sz w:val="17"/>
        </w:rPr>
        <w:t xml:space="preserve">(web-oficial · acceso abierto) </w:t>
      </w:r>
      <w:hyperlink r:id="rId11">
        <w:r>
          <w:rPr>
            <w:color w:val="0563C1"/>
            <w:u w:val="single"/>
            <w:sz w:val="18"/>
          </w:rPr>
          <w:t xml:space="preserve">https://surgeryreference.aofoundation.org/orthopedic-trauma/adult-trauma/proximal-humerus/approach/transdeltoid-lateral-approach</w:t>
        </w:r>
      </w:hyperlink>
    </w:p>
    <w:p>
      <w:pPr>
        <w:spacing w:after="60"/>
        <w:ind w:left="510" w:hanging="510"/>
      </w:pPr>
      <w:r>
        <w:rPr>
          <w:b/>
          <w:sz w:val="18"/>
        </w:rPr>
        <w:t xml:space="preserve">[r2] </w:t>
      </w:r>
      <w:r>
        <w:rPr>
          <w:sz w:val="18"/>
        </w:rPr>
        <w:t xml:space="preserve">Burkhead WZ Jr, Scheinberg RR, Box G. Surgical anatomy of the axillary nerve. J Shoulder Elbow Surg. 1992;1(1):31-6. doi:10.1016/S1058-2746(09)80014-1 </w:t>
      </w:r>
      <w:r>
        <w:rPr>
          <w:i/>
          <w:color w:val="5A6469"/>
          <w:sz w:val="17"/>
        </w:rPr>
        <w:t xml:space="preserve">(serie · acceso resumen) </w:t>
      </w:r>
      <w:hyperlink r:id="rId36">
        <w:r>
          <w:rPr>
            <w:color w:val="0563C1"/>
            <w:u w:val="single"/>
            <w:sz w:val="18"/>
          </w:rPr>
          <w:t xml:space="preserve">https://doi.org/10.1016/S1058-2746(09)80014-1</w:t>
        </w:r>
      </w:hyperlink>
    </w:p>
    <w:p>
      <w:pPr>
        <w:spacing w:after="60"/>
        <w:ind w:left="510" w:hanging="510"/>
      </w:pPr>
      <w:r>
        <w:rPr>
          <w:b/>
          <w:sz w:val="18"/>
        </w:rPr>
        <w:t xml:space="preserve">[r3] </w:t>
      </w:r>
      <w:r>
        <w:rPr>
          <w:sz w:val="18"/>
        </w:rPr>
        <w:t xml:space="preserve">Traver JL, Guzman MA, Cannada LK, Kaar SG. Is the Axillary Nerve at Risk During a Deltoid-Splitting Approach for Proximal Humerus Fractures? J Orthop Trauma. 2016;30(5):240-4. doi:10.1097/BOT.0000000000000492 </w:t>
      </w:r>
      <w:r>
        <w:rPr>
          <w:i/>
          <w:color w:val="5A6469"/>
          <w:sz w:val="17"/>
        </w:rPr>
        <w:t xml:space="preserve">(serie · acceso resumen) </w:t>
      </w:r>
      <w:hyperlink r:id="rId37">
        <w:r>
          <w:rPr>
            <w:color w:val="0563C1"/>
            <w:u w:val="single"/>
            <w:sz w:val="18"/>
          </w:rPr>
          <w:t xml:space="preserve">https://doi.org/10.1097/BOT.0000000000000492</w:t>
        </w:r>
      </w:hyperlink>
    </w:p>
    <w:p>
      <w:pPr>
        <w:spacing w:after="60"/>
        <w:ind w:left="510" w:hanging="510"/>
      </w:pPr>
      <w:r>
        <w:rPr>
          <w:b/>
          <w:sz w:val="18"/>
        </w:rPr>
        <w:t xml:space="preserve">[r4] </w:t>
      </w:r>
      <w:r>
        <w:rPr>
          <w:sz w:val="18"/>
        </w:rPr>
        <w:t xml:space="preserve">Buecking B, Mohr J, Bockmann B, Zettl R, Ruchholtz S. Deltoid-split or deltopectoral approaches for the treatment of displaced proximal humeral fractures? Clin Orthop Relat Res. 2014;472(5):1576-85. doi:10.1007/s11999-013-3415-7 </w:t>
      </w:r>
      <w:r>
        <w:rPr>
          <w:i/>
          <w:color w:val="5A6469"/>
          <w:sz w:val="17"/>
        </w:rPr>
        <w:t xml:space="preserve">(ECA · acceso resumen) </w:t>
      </w:r>
      <w:hyperlink r:id="rId62">
        <w:r>
          <w:rPr>
            <w:color w:val="0563C1"/>
            <w:u w:val="single"/>
            <w:sz w:val="18"/>
          </w:rPr>
          <w:t xml:space="preserve">https://doi.org/10.1007/s11999-013-3415-7</w:t>
        </w:r>
      </w:hyperlink>
    </w:p>
    <w:p>
      <w:pPr>
        <w:spacing w:after="60"/>
        <w:ind w:left="510" w:hanging="510"/>
      </w:pPr>
      <w:r>
        <w:rPr>
          <w:b/>
          <w:sz w:val="18"/>
        </w:rPr>
        <w:t xml:space="preserve">[r5] </w:t>
      </w:r>
      <w:r>
        <w:rPr>
          <w:sz w:val="18"/>
        </w:rPr>
        <w:t xml:space="preserve">Rouleau DM, Balg F, Benoit B, Leduc S, Malo M, Vézina F, et al. Deltopectoral vs. deltoid split approach for proximal HUmerus fracture fixation with locking plate: a prospective RAndomized study (HURA). J Shoulder Elbow Surg. 2020;29(11):2190-2199. doi:10.1016/j.jse.2020.06.020 </w:t>
      </w:r>
      <w:r>
        <w:rPr>
          <w:i/>
          <w:color w:val="5A6469"/>
          <w:sz w:val="17"/>
        </w:rPr>
        <w:t xml:space="preserve">(ECA · acceso resumen) </w:t>
      </w:r>
      <w:hyperlink r:id="rId22">
        <w:r>
          <w:rPr>
            <w:color w:val="0563C1"/>
            <w:u w:val="single"/>
            <w:sz w:val="18"/>
          </w:rPr>
          <w:t xml:space="preserve">https://doi.org/10.1016/j.jse.2020.06.020</w:t>
        </w:r>
      </w:hyperlink>
    </w:p>
    <w:p>
      <w:pPr>
        <w:spacing w:after="60"/>
        <w:ind w:left="510" w:hanging="510"/>
      </w:pPr>
      <w:r>
        <w:rPr>
          <w:b/>
          <w:sz w:val="18"/>
        </w:rPr>
        <w:t xml:space="preserve">[r6] </w:t>
      </w:r>
      <w:r>
        <w:rPr>
          <w:sz w:val="18"/>
        </w:rPr>
        <w:t xml:space="preserve">Wu Z, Shen W. An updated systematic review and meta‑analysis comparing deltoid‑split approach with deltopectoral approach for proximal humerus fractures. Exp Ther Med. 2023;25(6):296. doi:10.3892/etm.2023.11995 </w:t>
      </w:r>
      <w:r>
        <w:rPr>
          <w:i/>
          <w:color w:val="5A6469"/>
          <w:sz w:val="17"/>
        </w:rPr>
        <w:t xml:space="preserve">(RS-MA · acceso abierto) </w:t>
      </w:r>
      <w:hyperlink r:id="rId63">
        <w:r>
          <w:rPr>
            <w:color w:val="0563C1"/>
            <w:u w:val="single"/>
            <w:sz w:val="18"/>
          </w:rPr>
          <w:t xml:space="preserve">https://doi.org/10.3892/etm.2023.11995</w:t>
        </w:r>
      </w:hyperlink>
    </w:p>
    <w:p>
      <w:pPr>
        <w:spacing w:after="60"/>
        <w:ind w:left="510" w:hanging="510"/>
      </w:pPr>
      <w:r>
        <w:rPr>
          <w:b/>
          <w:sz w:val="18"/>
        </w:rPr>
        <w:t xml:space="preserve">[r7] </w:t>
      </w:r>
      <w:r>
        <w:rPr>
          <w:sz w:val="18"/>
        </w:rPr>
        <w:t xml:space="preserve">Li F, Liu X, Wang F, Gu Z, Tao Q, Yao C, et al. Comparison between minimally invasive plate osteosynthesis and open reduction-internal fixation for proximal humeral fractures: a meta-analysis based on 1050 individuals. BMC Musculoskelet Disord. 2019;20(1):550. doi:10.1186/s12891-019-2936-y </w:t>
      </w:r>
      <w:r>
        <w:rPr>
          <w:i/>
          <w:color w:val="5A6469"/>
          <w:sz w:val="17"/>
        </w:rPr>
        <w:t xml:space="preserve">(RS-MA · acceso abierto) </w:t>
      </w:r>
      <w:hyperlink r:id="rId64">
        <w:r>
          <w:rPr>
            <w:color w:val="0563C1"/>
            <w:u w:val="single"/>
            <w:sz w:val="18"/>
          </w:rPr>
          <w:t xml:space="preserve">https://doi.org/10.1186/s12891-019-2936-y</w:t>
        </w:r>
      </w:hyperlink>
    </w:p>
    <w:p>
      <w:pPr>
        <w:spacing w:after="60"/>
        <w:ind w:left="510" w:hanging="510"/>
      </w:pPr>
      <w:r>
        <w:rPr>
          <w:b/>
          <w:sz w:val="18"/>
        </w:rPr>
        <w:t xml:space="preserve">[r8] </w:t>
      </w:r>
      <w:r>
        <w:rPr>
          <w:sz w:val="18"/>
        </w:rPr>
        <w:t xml:space="preserve">Oldrini LM, Sangiorgio A, Feltri P, Marbach F, Filardo G, Candrian C. Proximal humerus fractures: deltopectoral open reduction and internal fixation vs deltosplit minimally invasive plate osteosynthesis: which surgical approach provides superior results? EFORT Open Rev. 2023;8(8):662-671. doi:10.1530/EOR-22-0110 </w:t>
      </w:r>
      <w:r>
        <w:rPr>
          <w:i/>
          <w:color w:val="5A6469"/>
          <w:sz w:val="17"/>
        </w:rPr>
        <w:t xml:space="preserve">(RS-MA · acceso abierto) </w:t>
      </w:r>
      <w:hyperlink r:id="rId12">
        <w:r>
          <w:rPr>
            <w:color w:val="0563C1"/>
            <w:u w:val="single"/>
            <w:sz w:val="18"/>
          </w:rPr>
          <w:t xml:space="preserve">https://doi.org/10.1530/EOR-22-0110</w:t>
        </w:r>
      </w:hyperlink>
    </w:p>
    <w:p>
      <w:pPr>
        <w:spacing w:after="60"/>
        <w:ind w:left="510" w:hanging="510"/>
      </w:pPr>
      <w:r>
        <w:rPr>
          <w:b/>
          <w:sz w:val="18"/>
        </w:rPr>
        <w:t xml:space="preserve">[r9] </w:t>
      </w:r>
      <w:r>
        <w:rPr>
          <w:sz w:val="18"/>
        </w:rPr>
        <w:t xml:space="preserve">Cheung S, Fitzpatrick M, Lee TQ. Effects of shoulder position on axillary nerve positions during the split lateral deltoid approach. J Shoulder Elbow Surg. 2009;18(5):748-55. doi:10.1016/j.jse.2008.12.001 </w:t>
      </w:r>
      <w:r>
        <w:rPr>
          <w:i/>
          <w:color w:val="5A6469"/>
          <w:sz w:val="17"/>
        </w:rPr>
        <w:t xml:space="preserve">(serie · acceso resumen) </w:t>
      </w:r>
      <w:hyperlink r:id="rId38">
        <w:r>
          <w:rPr>
            <w:color w:val="0563C1"/>
            <w:u w:val="single"/>
            <w:sz w:val="18"/>
          </w:rPr>
          <w:t xml:space="preserve">https://doi.org/10.1016/j.jse.2008.12.001</w:t>
        </w:r>
      </w:hyperlink>
    </w:p>
    <w:p>
      <w:pPr>
        <w:spacing w:after="60"/>
        <w:ind w:left="510" w:hanging="510"/>
      </w:pPr>
      <w:r>
        <w:rPr>
          <w:b/>
          <w:sz w:val="18"/>
        </w:rPr>
        <w:t xml:space="preserve">[r10] </w:t>
      </w:r>
      <w:r>
        <w:rPr>
          <w:sz w:val="18"/>
        </w:rPr>
        <w:t xml:space="preserve">Stecco C, Gagliano G, Lancerotto L, Tiengo C, Macchi V, Porzionato A, et al. Surgical anatomy of the axillary nerve and its implication in the transdeltoid approaches to the shoulder. J Shoulder Elbow Surg. 2010;19(8):1166-74. doi:10.1016/j.jse.2010.05.010 </w:t>
      </w:r>
      <w:r>
        <w:rPr>
          <w:i/>
          <w:color w:val="5A6469"/>
          <w:sz w:val="17"/>
        </w:rPr>
        <w:t xml:space="preserve">(serie · acceso resumen) </w:t>
      </w:r>
      <w:hyperlink r:id="rId39">
        <w:r>
          <w:rPr>
            <w:color w:val="0563C1"/>
            <w:u w:val="single"/>
            <w:sz w:val="18"/>
          </w:rPr>
          <w:t xml:space="preserve">https://doi.org/10.1016/j.jse.2010.05.010</w:t>
        </w:r>
      </w:hyperlink>
    </w:p>
    <w:p>
      <w:pPr>
        <w:spacing w:after="60"/>
        <w:ind w:left="510" w:hanging="510"/>
      </w:pPr>
      <w:r>
        <w:rPr>
          <w:b/>
          <w:sz w:val="18"/>
        </w:rPr>
        <w:t xml:space="preserve">[r11] </w:t>
      </w:r>
      <w:r>
        <w:rPr>
          <w:sz w:val="18"/>
        </w:rPr>
        <w:t xml:space="preserve">Dang KH, Ornell SS, Reyes G, Hussey M, Dutta AK. A new risk to the axillary nerve during percutaneous proximal humeral plate fixation using the Synthes PHILOS aiming system. J Shoulder Elbow Surg. 2019;28(9):1795-1800. doi:10.1016/j.jse.2019.01.019 </w:t>
      </w:r>
      <w:r>
        <w:rPr>
          <w:i/>
          <w:color w:val="5A6469"/>
          <w:sz w:val="17"/>
        </w:rPr>
        <w:t xml:space="preserve">(serie · acceso resumen) </w:t>
      </w:r>
      <w:hyperlink r:id="rId57">
        <w:r>
          <w:rPr>
            <w:color w:val="0563C1"/>
            <w:u w:val="single"/>
            <w:sz w:val="18"/>
          </w:rPr>
          <w:t xml:space="preserve">https://doi.org/10.1016/j.jse.2019.01.019</w:t>
        </w:r>
      </w:hyperlink>
    </w:p>
    <w:p>
      <w:pPr>
        <w:spacing w:after="60"/>
        <w:ind w:left="510" w:hanging="510"/>
      </w:pPr>
      <w:r>
        <w:rPr>
          <w:b/>
          <w:sz w:val="18"/>
        </w:rPr>
        <w:t xml:space="preserve">[r12] </w:t>
      </w:r>
      <w:r>
        <w:rPr>
          <w:sz w:val="18"/>
        </w:rPr>
        <w:t xml:space="preserve">Smith J, Berry G, Laflamme Y, Blain-Pare E, Reindl R, Harvey E. Percutaneous insertion of a proximal humeral locking plate: an anatomic study. Injury. 2007;38(2):206-11. doi:10.1016/j.injury.2006.08.025 </w:t>
      </w:r>
      <w:r>
        <w:rPr>
          <w:i/>
          <w:color w:val="5A6469"/>
          <w:sz w:val="17"/>
        </w:rPr>
        <w:t xml:space="preserve">(serie · acceso resumen) </w:t>
      </w:r>
      <w:hyperlink r:id="rId58">
        <w:r>
          <w:rPr>
            <w:color w:val="0563C1"/>
            <w:u w:val="single"/>
            <w:sz w:val="18"/>
          </w:rPr>
          <w:t xml:space="preserve">https://doi.org/10.1016/j.injury.2006.08.025</w:t>
        </w:r>
      </w:hyperlink>
    </w:p>
    <w:p>
      <w:pPr>
        <w:spacing w:after="60"/>
        <w:ind w:left="510" w:hanging="510"/>
      </w:pPr>
      <w:r>
        <w:rPr>
          <w:b/>
          <w:sz w:val="18"/>
        </w:rPr>
        <w:t xml:space="preserve">[r13] </w:t>
      </w:r>
      <w:r>
        <w:rPr>
          <w:sz w:val="18"/>
        </w:rPr>
        <w:t xml:space="preserve">Jeon N, Park S, Bae KH, Park KC, Hwang Bo BH, Lim TK. The use of medial support screw was associated with axillary nerve injury after plate fixation of proximal humeral fracture using minimal invasive deltoid-splitting approach. J Orthop Sci. 2023;28(2):432-437. doi:10.1016/j.jos.2021.11.004 </w:t>
      </w:r>
      <w:r>
        <w:rPr>
          <w:i/>
          <w:color w:val="5A6469"/>
          <w:sz w:val="17"/>
        </w:rPr>
        <w:t xml:space="preserve">(cohorte · acceso resumen) </w:t>
      </w:r>
      <w:hyperlink r:id="rId23">
        <w:r>
          <w:rPr>
            <w:color w:val="0563C1"/>
            <w:u w:val="single"/>
            <w:sz w:val="18"/>
          </w:rPr>
          <w:t xml:space="preserve">https://doi.org/10.1016/j.jos.2021.11.004</w:t>
        </w:r>
      </w:hyperlink>
    </w:p>
    <w:p>
      <w:pPr>
        <w:spacing w:after="60"/>
        <w:ind w:left="510" w:hanging="510"/>
      </w:pPr>
      <w:r>
        <w:rPr>
          <w:b/>
          <w:sz w:val="18"/>
        </w:rPr>
        <w:t xml:space="preserve">[r14] </w:t>
      </w:r>
      <w:r>
        <w:rPr>
          <w:sz w:val="18"/>
        </w:rPr>
        <w:t xml:space="preserve">Borer J, Schwarz J, Potthast S, Jakob M, Lenzlinger P, Zingg U, et al. Mid-term results of minimally invasive deltoid-split versus standard open deltopectoral approach for PHILOS™ (proximal humeral internal locking system) osteosynthesis in proximal humeral fractures. Eur J Trauma Emerg Surg. 2020;46(4):825-834. doi:10.1007/s00068-019-01076-7 </w:t>
      </w:r>
      <w:r>
        <w:rPr>
          <w:i/>
          <w:color w:val="5A6469"/>
          <w:sz w:val="17"/>
        </w:rPr>
        <w:t xml:space="preserve">(cohorte · acceso resumen) </w:t>
      </w:r>
      <w:hyperlink r:id="rId51">
        <w:r>
          <w:rPr>
            <w:color w:val="0563C1"/>
            <w:u w:val="single"/>
            <w:sz w:val="18"/>
          </w:rPr>
          <w:t xml:space="preserve">https://doi.org/10.1007/s00068-019-01076-7</w:t>
        </w:r>
      </w:hyperlink>
    </w:p>
    <w:p>
      <w:pPr>
        <w:spacing w:after="60"/>
        <w:ind w:left="510" w:hanging="510"/>
      </w:pPr>
      <w:r>
        <w:rPr>
          <w:b/>
          <w:sz w:val="18"/>
        </w:rPr>
        <w:t xml:space="preserve">[r15] </w:t>
      </w:r>
      <w:r>
        <w:rPr>
          <w:sz w:val="18"/>
        </w:rPr>
        <w:t xml:space="preserve">Visser CP, Coene LN, Brand R, Tavy DL. Nerve lesions in proximal humeral fractures. J Shoulder Elbow Surg. 2001;10(5):421-7. doi:10.1067/mse.2001.118002 </w:t>
      </w:r>
      <w:r>
        <w:rPr>
          <w:i/>
          <w:color w:val="5A6469"/>
          <w:sz w:val="17"/>
        </w:rPr>
        <w:t xml:space="preserve">(cohorte · acceso resumen) </w:t>
      </w:r>
      <w:hyperlink r:id="rId24">
        <w:r>
          <w:rPr>
            <w:color w:val="0563C1"/>
            <w:u w:val="single"/>
            <w:sz w:val="18"/>
          </w:rPr>
          <w:t xml:space="preserve">https://doi.org/10.1067/mse.2001.118002</w:t>
        </w:r>
      </w:hyperlink>
    </w:p>
    <w:p>
      <w:pPr>
        <w:spacing w:after="60"/>
        <w:ind w:left="510" w:hanging="510"/>
      </w:pPr>
      <w:r>
        <w:rPr>
          <w:b/>
          <w:sz w:val="18"/>
        </w:rPr>
        <w:t xml:space="preserve">[r16] </w:t>
      </w:r>
      <w:r>
        <w:rPr>
          <w:sz w:val="18"/>
        </w:rPr>
        <w:t xml:space="preserve">Westphal T, Woischnik S, Adolf D, Feistner H, Piatek S. Axillary nerve lesions after open reduction and internal fixation of proximal humeral fractures through an extended lateral deltoid-split approach: electrophysiological findings. J Shoulder Elbow Surg. 2017;26(3):464-471. doi:10.1016/j.jse.2016.07.027 </w:t>
      </w:r>
      <w:r>
        <w:rPr>
          <w:i/>
          <w:color w:val="5A6469"/>
          <w:sz w:val="17"/>
        </w:rPr>
        <w:t xml:space="preserve">(cohorte · acceso resumen) </w:t>
      </w:r>
      <w:hyperlink r:id="rId25">
        <w:r>
          <w:rPr>
            <w:color w:val="0563C1"/>
            <w:u w:val="single"/>
            <w:sz w:val="18"/>
          </w:rPr>
          <w:t xml:space="preserve">https://doi.org/10.1016/j.jse.2016.07.027</w:t>
        </w:r>
      </w:hyperlink>
    </w:p>
    <w:p>
      <w:pPr>
        <w:spacing w:after="60"/>
        <w:ind w:left="510" w:hanging="510"/>
      </w:pPr>
      <w:r>
        <w:rPr>
          <w:b/>
          <w:sz w:val="18"/>
        </w:rPr>
        <w:t xml:space="preserve">[r17] </w:t>
      </w:r>
      <w:r>
        <w:rPr>
          <w:sz w:val="18"/>
        </w:rPr>
        <w:t xml:space="preserve">Gardner MJ, Griffith MH, Dines JS, Briggs SM, Weiland AJ, Lorich DG. The extended anterolateral acromial approach allows minimally invasive access to the proximal humerus. Clin Orthop Relat Res. 2005;(434):123-9. doi:10.1097/01.blo.0000152872.95806.09 </w:t>
      </w:r>
      <w:r>
        <w:rPr>
          <w:i/>
          <w:color w:val="5A6469"/>
          <w:sz w:val="17"/>
        </w:rPr>
        <w:t xml:space="preserve">(serie · acceso resumen) </w:t>
      </w:r>
      <w:hyperlink r:id="rId53">
        <w:r>
          <w:rPr>
            <w:color w:val="0563C1"/>
            <w:u w:val="single"/>
            <w:sz w:val="18"/>
          </w:rPr>
          <w:t xml:space="preserve">https://doi.org/10.1097/01.blo.0000152872.95806.09</w:t>
        </w:r>
      </w:hyperlink>
    </w:p>
    <w:p>
      <w:pPr>
        <w:spacing w:after="60"/>
        <w:ind w:left="510" w:hanging="510"/>
      </w:pPr>
      <w:r>
        <w:rPr>
          <w:b/>
          <w:sz w:val="18"/>
        </w:rPr>
        <w:t xml:space="preserve">[r18] </w:t>
      </w:r>
      <w:r>
        <w:rPr>
          <w:sz w:val="18"/>
        </w:rPr>
        <w:t xml:space="preserve">Gardner MJ, Voos JE, Wanich T, Helfet DL, Lorich DG. Vascular implications of minimally invasive plating of proximal humerus fractures. J Orthop Trauma. 2006;20(9):602-7. doi:10.1097/01.bot.0000246412.10176.14 </w:t>
      </w:r>
      <w:r>
        <w:rPr>
          <w:i/>
          <w:color w:val="5A6469"/>
          <w:sz w:val="17"/>
        </w:rPr>
        <w:t xml:space="preserve">(serie · acceso resumen) </w:t>
      </w:r>
      <w:hyperlink r:id="rId31">
        <w:r>
          <w:rPr>
            <w:color w:val="0563C1"/>
            <w:u w:val="single"/>
            <w:sz w:val="18"/>
          </w:rPr>
          <w:t xml:space="preserve">https://doi.org/10.1097/01.bot.0000246412.10176.14</w:t>
        </w:r>
      </w:hyperlink>
    </w:p>
    <w:p>
      <w:pPr>
        <w:spacing w:after="60"/>
        <w:ind w:left="510" w:hanging="510"/>
      </w:pPr>
      <w:r>
        <w:rPr>
          <w:b/>
          <w:sz w:val="18"/>
        </w:rPr>
        <w:t xml:space="preserve">[r19] </w:t>
      </w:r>
      <w:r>
        <w:rPr>
          <w:sz w:val="18"/>
        </w:rPr>
        <w:t xml:space="preserve">Yildirim C, Demirel M, Bayram E, Ekinci M, Yılmaz M. Acromion-axillary nerve distance and its relation to the arm length in the prediction of the axillary nerve position: a clinical study. J Orthop Surg Res. 2022;17(1):248. doi:10.1186/s13018-022-03085-6 </w:t>
      </w:r>
      <w:r>
        <w:rPr>
          <w:i/>
          <w:color w:val="5A6469"/>
          <w:sz w:val="17"/>
        </w:rPr>
        <w:t xml:space="preserve">(cohorte · acceso abierto) </w:t>
      </w:r>
      <w:hyperlink r:id="rId40">
        <w:r>
          <w:rPr>
            <w:color w:val="0563C1"/>
            <w:u w:val="single"/>
            <w:sz w:val="18"/>
          </w:rPr>
          <w:t xml:space="preserve">https://doi.org/10.1186/s13018-022-03085-6</w:t>
        </w:r>
      </w:hyperlink>
    </w:p>
    <w:p>
      <w:pPr>
        <w:spacing w:after="60"/>
        <w:ind w:left="510" w:hanging="510"/>
      </w:pPr>
      <w:r>
        <w:rPr>
          <w:b/>
          <w:sz w:val="18"/>
        </w:rPr>
        <w:t xml:space="preserve">[r20] </w:t>
      </w:r>
      <w:r>
        <w:rPr>
          <w:sz w:val="18"/>
        </w:rPr>
        <w:t xml:space="preserve">Saran N, Bergeron SG, Benoit B, Reindl R, Harvey EJ, Berry GK. Risk of axillary nerve injury during percutaneous proximal humerus locking plate insertion using an external aiming guide. Injury. 2010;41(10):1037-40. doi:10.1016/j.injury.2010.04.014 </w:t>
      </w:r>
      <w:r>
        <w:rPr>
          <w:i/>
          <w:color w:val="5A6469"/>
          <w:sz w:val="17"/>
        </w:rPr>
        <w:t xml:space="preserve">(serie · acceso resumen) </w:t>
      </w:r>
      <w:hyperlink r:id="rId69">
        <w:r>
          <w:rPr>
            <w:color w:val="0563C1"/>
            <w:u w:val="single"/>
            <w:sz w:val="18"/>
          </w:rPr>
          <w:t xml:space="preserve">https://doi.org/10.1016/j.injury.2010.04.014</w:t>
        </w:r>
      </w:hyperlink>
    </w:p>
    <w:p>
      <w:pPr>
        <w:spacing w:after="60"/>
        <w:ind w:left="510" w:hanging="510"/>
      </w:pPr>
      <w:r>
        <w:rPr>
          <w:b/>
          <w:sz w:val="18"/>
        </w:rPr>
        <w:t xml:space="preserve">[r21] </w:t>
      </w:r>
      <w:r>
        <w:rPr>
          <w:sz w:val="18"/>
        </w:rPr>
        <w:t xml:space="preserve">Sirisreetreerux N, Pengrung N, Apivatthakakul T. Proximal humerus exposure with the inverted-L anterolateral deltoid flip approach, anterolateral deltoid splitting approach, and deltopectoral approach: A comparative cadaveric study. Injury. 2021;52(4):738-746. doi:10.1016/j.injury.2020.11.022 </w:t>
      </w:r>
      <w:r>
        <w:rPr>
          <w:i/>
          <w:color w:val="5A6469"/>
          <w:sz w:val="17"/>
        </w:rPr>
        <w:t xml:space="preserve">(serie · acceso resumen) </w:t>
      </w:r>
      <w:hyperlink r:id="rId13">
        <w:r>
          <w:rPr>
            <w:color w:val="0563C1"/>
            <w:u w:val="single"/>
            <w:sz w:val="18"/>
          </w:rPr>
          <w:t xml:space="preserve">https://doi.org/10.1016/j.injury.2020.11.022</w:t>
        </w:r>
      </w:hyperlink>
    </w:p>
    <w:p>
      <w:pPr>
        <w:spacing w:after="60"/>
        <w:ind w:left="510" w:hanging="510"/>
      </w:pPr>
      <w:r>
        <w:rPr>
          <w:b/>
          <w:sz w:val="18"/>
        </w:rPr>
        <w:t xml:space="preserve">[r22] </w:t>
      </w:r>
      <w:r>
        <w:rPr>
          <w:sz w:val="18"/>
        </w:rPr>
        <w:t xml:space="preserve">Hata Y, Saitoh S, Murakami N, Kobayashi H, Takaoka K. Atrophy of the deltoid muscle following rotator cuff surgery. J Bone Joint Surg Am. 2004;86(7):1414-9. doi:10.2106/00004623-200407000-00008 </w:t>
      </w:r>
      <w:r>
        <w:rPr>
          <w:i/>
          <w:color w:val="5A6469"/>
          <w:sz w:val="17"/>
        </w:rPr>
        <w:t xml:space="preserve">(cohorte · acceso resumen) </w:t>
      </w:r>
      <w:hyperlink r:id="rId14">
        <w:r>
          <w:rPr>
            <w:color w:val="0563C1"/>
            <w:u w:val="single"/>
            <w:sz w:val="18"/>
          </w:rPr>
          <w:t xml:space="preserve">https://doi.org/10.2106/00004623-200407000-00008</w:t>
        </w:r>
      </w:hyperlink>
    </w:p>
    <w:p>
      <w:pPr>
        <w:spacing w:after="60"/>
        <w:ind w:left="510" w:hanging="510"/>
      </w:pPr>
      <w:r>
        <w:rPr>
          <w:b/>
          <w:sz w:val="18"/>
        </w:rPr>
        <w:t xml:space="preserve">[r23] </w:t>
      </w:r>
      <w:r>
        <w:rPr>
          <w:sz w:val="18"/>
        </w:rPr>
        <w:t xml:space="preserve">Falez F, Papalia M, Greco A, Teti A, Favetti F, Panegrossi G, et al. Minimally invasive plate osteosynthesis in proximal humeral fractures: one-year results of a prospective multicenter study. Int Orthop. 2016;40(3):579-85. doi:10.1007/s00264-015-3069-z </w:t>
      </w:r>
      <w:r>
        <w:rPr>
          <w:i/>
          <w:color w:val="5A6469"/>
          <w:sz w:val="17"/>
        </w:rPr>
        <w:t xml:space="preserve">(serie · acceso resumen) </w:t>
      </w:r>
      <w:hyperlink r:id="rId54">
        <w:r>
          <w:rPr>
            <w:color w:val="0563C1"/>
            <w:u w:val="single"/>
            <w:sz w:val="18"/>
          </w:rPr>
          <w:t xml:space="preserve">https://doi.org/10.1007/s00264-015-3069-z</w:t>
        </w:r>
      </w:hyperlink>
    </w:p>
    <w:p>
      <w:pPr>
        <w:spacing w:after="60"/>
        <w:ind w:left="510" w:hanging="510"/>
      </w:pPr>
      <w:r>
        <w:rPr>
          <w:b/>
          <w:sz w:val="18"/>
        </w:rPr>
        <w:t xml:space="preserve">[r24] </w:t>
      </w:r>
      <w:r>
        <w:rPr>
          <w:sz w:val="18"/>
        </w:rPr>
        <w:t xml:space="preserve">Röderer G, Abouelsoud M, Gebhard F, Böckers TM, Kinzl L. Minimally invasive application of the non-contact-bridging (NCB) plate to the proximal humerus: an anatomical study. J Orthop Trauma. 2007;21(9):621-7. doi:10.1097/BOT.0b013e318157f0cd </w:t>
      </w:r>
      <w:r>
        <w:rPr>
          <w:i/>
          <w:color w:val="5A6469"/>
          <w:sz w:val="17"/>
        </w:rPr>
        <w:t xml:space="preserve">(serie · acceso resumen) </w:t>
      </w:r>
      <w:hyperlink r:id="rId55">
        <w:r>
          <w:rPr>
            <w:color w:val="0563C1"/>
            <w:u w:val="single"/>
            <w:sz w:val="18"/>
          </w:rPr>
          <w:t xml:space="preserve">https://doi.org/10.1097/BOT.0b013e318157f0cd</w:t>
        </w:r>
      </w:hyperlink>
    </w:p>
    <w:p>
      <w:pPr>
        <w:spacing w:after="60"/>
        <w:ind w:left="510" w:hanging="510"/>
      </w:pPr>
      <w:r>
        <w:rPr>
          <w:b/>
          <w:sz w:val="18"/>
        </w:rPr>
        <w:t xml:space="preserve">[r25] </w:t>
      </w:r>
      <w:r>
        <w:rPr>
          <w:sz w:val="18"/>
        </w:rPr>
        <w:t xml:space="preserve">Bhayana H, Chouhan DK, Aggarwal S, Prakash M, Patel S, Arora C, et al. Outcomes of plate osteosynthesis for displaced 3-part and 4-part proximal humerus fractures with deltopectoral vs. deltoid split approach. Eur J Trauma Emerg Surg. 2022;48(6):4559-4567. doi:10.1007/s00068-021-01761-6 </w:t>
      </w:r>
      <w:r>
        <w:rPr>
          <w:i/>
          <w:color w:val="5A6469"/>
          <w:sz w:val="17"/>
        </w:rPr>
        <w:t xml:space="preserve">(cohorte · acceso resumen) </w:t>
      </w:r>
      <w:hyperlink r:id="rId52">
        <w:r>
          <w:rPr>
            <w:color w:val="0563C1"/>
            <w:u w:val="single"/>
            <w:sz w:val="18"/>
          </w:rPr>
          <w:t xml:space="preserve">https://doi.org/10.1007/s00068-021-01761-6</w:t>
        </w:r>
      </w:hyperlink>
    </w:p>
    <w:p>
      <w:pPr>
        <w:spacing w:after="60"/>
        <w:ind w:left="510" w:hanging="510"/>
      </w:pPr>
      <w:r>
        <w:rPr>
          <w:b/>
          <w:sz w:val="18"/>
        </w:rPr>
        <w:t xml:space="preserve">[r26] </w:t>
      </w:r>
      <w:r>
        <w:rPr>
          <w:sz w:val="18"/>
        </w:rPr>
        <w:t xml:space="preserve">Jaeger M, Leung F, Li W. Anterolateral approach to the proximal humerus [Internet]. En: AO Surgery Reference. Davos: AO Foundation [consultado 2026 oct 12]. Disponible en: https://surgeryreference.aofoundation.org/orthopedic-trauma/adult-trauma/proximal-humerus/approach/anterolateral-approach </w:t>
      </w:r>
      <w:r>
        <w:rPr>
          <w:i/>
          <w:color w:val="5A6469"/>
          <w:sz w:val="17"/>
        </w:rPr>
        <w:t xml:space="preserve">(web-oficial · acceso abierto) </w:t>
      </w:r>
      <w:hyperlink r:id="rId15">
        <w:r>
          <w:rPr>
            <w:color w:val="0563C1"/>
            <w:u w:val="single"/>
            <w:sz w:val="18"/>
          </w:rPr>
          <w:t xml:space="preserve">https://surgeryreference.aofoundation.org/orthopedic-trauma/adult-trauma/proximal-humerus/approach/anterolateral-approach</w:t>
        </w:r>
      </w:hyperlink>
    </w:p>
    <w:p>
      <w:pPr>
        <w:spacing w:after="60"/>
        <w:ind w:left="510" w:hanging="510"/>
      </w:pPr>
      <w:r>
        <w:rPr>
          <w:b/>
          <w:sz w:val="18"/>
        </w:rPr>
        <w:t xml:space="preserve">[r27] </w:t>
      </w:r>
      <w:r>
        <w:rPr>
          <w:sz w:val="18"/>
        </w:rPr>
        <w:t xml:space="preserve">Acklin YP, Sommer C. Plate fixation of proximal humerus fractures using the minimally invasive anterolateral delta split approach. Oper Orthop Traumatol. 2012;24(1):61-73. doi:10.1007/s00064-011-0051-9 </w:t>
      </w:r>
      <w:r>
        <w:rPr>
          <w:i/>
          <w:color w:val="5A6469"/>
          <w:sz w:val="17"/>
        </w:rPr>
        <w:t xml:space="preserve">(serie · acceso resumen) </w:t>
      </w:r>
      <w:hyperlink r:id="rId16">
        <w:r>
          <w:rPr>
            <w:color w:val="0563C1"/>
            <w:u w:val="single"/>
            <w:sz w:val="18"/>
          </w:rPr>
          <w:t xml:space="preserve">https://doi.org/10.1007/s00064-011-0051-9</w:t>
        </w:r>
      </w:hyperlink>
    </w:p>
    <w:p>
      <w:pPr>
        <w:spacing w:after="60"/>
        <w:ind w:left="510" w:hanging="510"/>
      </w:pPr>
      <w:r>
        <w:rPr>
          <w:b/>
          <w:sz w:val="18"/>
        </w:rPr>
        <w:t xml:space="preserve">[r28] </w:t>
      </w:r>
      <w:r>
        <w:rPr>
          <w:sz w:val="18"/>
        </w:rPr>
        <w:t xml:space="preserve">Lin T, Xiao B, Ma X, Fu D, Yang S. Minimally invasive plate osteosynthesis with a locking compression plate is superior to open reduction and internal fixation in the management of the proximal humerus fractures. BMC Musculoskelet Disord. 2014;15:206. doi:10.1186/1471-2474-15-206 </w:t>
      </w:r>
      <w:r>
        <w:rPr>
          <w:i/>
          <w:color w:val="5A6469"/>
          <w:sz w:val="17"/>
        </w:rPr>
        <w:t xml:space="preserve">(cohorte · acceso abierto) </w:t>
      </w:r>
      <w:hyperlink r:id="rId17">
        <w:r>
          <w:rPr>
            <w:color w:val="0563C1"/>
            <w:u w:val="single"/>
            <w:sz w:val="18"/>
          </w:rPr>
          <w:t xml:space="preserve">https://doi.org/10.1186/1471-2474-15-206</w:t>
        </w:r>
      </w:hyperlink>
    </w:p>
    <w:p>
      <w:pPr>
        <w:spacing w:after="60"/>
        <w:ind w:left="510" w:hanging="510"/>
      </w:pPr>
      <w:r>
        <w:rPr>
          <w:b/>
          <w:sz w:val="18"/>
        </w:rPr>
        <w:t xml:space="preserve">[r29] </w:t>
      </w:r>
      <w:r>
        <w:rPr>
          <w:sz w:val="18"/>
        </w:rPr>
        <w:t xml:space="preserve">Xie L, Zhang Y, Chen C, Zheng W, Chen H, Cai L. Deltoid-split approach versus deltopectoral approach for proximal humerus fractures: A systematic review and meta-analysis. Orthop Traumatol Surg Res. 2019;105(2):307-316. doi:10.1016/j.otsr.2018.12.004 </w:t>
      </w:r>
      <w:r>
        <w:rPr>
          <w:i/>
          <w:color w:val="5A6469"/>
          <w:sz w:val="17"/>
        </w:rPr>
        <w:t xml:space="preserve">(RS-MA · acceso resumen) </w:t>
      </w:r>
      <w:hyperlink r:id="rId18">
        <w:r>
          <w:rPr>
            <w:color w:val="0563C1"/>
            <w:u w:val="single"/>
            <w:sz w:val="18"/>
          </w:rPr>
          <w:t xml:space="preserve">https://doi.org/10.1016/j.otsr.2018.12.004</w:t>
        </w:r>
      </w:hyperlink>
    </w:p>
    <w:p>
      <w:pPr>
        <w:spacing w:after="60"/>
        <w:ind w:left="510" w:hanging="510"/>
      </w:pPr>
      <w:r>
        <w:rPr>
          <w:b/>
          <w:sz w:val="18"/>
        </w:rPr>
        <w:t xml:space="preserve">[r30] </w:t>
      </w:r>
      <w:r>
        <w:rPr>
          <w:sz w:val="18"/>
        </w:rPr>
        <w:t xml:space="preserve">Molé D, Wein F, Dézaly C, Valenti P, Sirveaux F. Surgical technique: the anterosuperior approach for reverse shoulder arthroplasty. Clin Orthop Relat Res. 2011;469(9):2461-8. doi:10.1007/s11999-011-1861-7 </w:t>
      </w:r>
      <w:r>
        <w:rPr>
          <w:i/>
          <w:color w:val="5A6469"/>
          <w:sz w:val="17"/>
        </w:rPr>
        <w:t xml:space="preserve">(revision · acceso resumen) </w:t>
      </w:r>
      <w:hyperlink r:id="rId19">
        <w:r>
          <w:rPr>
            <w:color w:val="0563C1"/>
            <w:u w:val="single"/>
            <w:sz w:val="18"/>
          </w:rPr>
          <w:t xml:space="preserve">https://doi.org/10.1007/s11999-011-1861-7</w:t>
        </w:r>
      </w:hyperlink>
    </w:p>
    <w:p>
      <w:pPr>
        <w:spacing w:after="60"/>
        <w:ind w:left="510" w:hanging="510"/>
      </w:pPr>
      <w:r>
        <w:rPr>
          <w:b/>
          <w:sz w:val="18"/>
        </w:rPr>
        <w:t xml:space="preserve">[r31] </w:t>
      </w:r>
      <w:r>
        <w:rPr>
          <w:sz w:val="18"/>
        </w:rPr>
        <w:t xml:space="preserve">Jaeger M, Leung F, Li W. Deltopectoral approach to the proximal humerus [Internet]. En: AO Surgery Reference. Davos: AO Foundation [consultado 2026 oct 12]. Disponible en: https://surgeryreference.aofoundation.org/orthopedic-trauma/adult-trauma/proximal-humerus/approach/deltopectoral-approach-to-the-proximal-humerus </w:t>
      </w:r>
      <w:r>
        <w:rPr>
          <w:i/>
          <w:color w:val="5A6469"/>
          <w:sz w:val="17"/>
        </w:rPr>
        <w:t xml:space="preserve">(web-oficial · acceso abierto) </w:t>
      </w:r>
      <w:hyperlink r:id="rId20">
        <w:r>
          <w:rPr>
            <w:color w:val="0563C1"/>
            <w:u w:val="single"/>
            <w:sz w:val="18"/>
          </w:rPr>
          <w:t xml:space="preserve">https://surgeryreference.aofoundation.org/orthopedic-trauma/adult-trauma/proximal-humerus/approach/deltopectoral-approach-to-the-proximal-humerus</w:t>
        </w:r>
      </w:hyperlink>
    </w:p>
    <w:p>
      <w:pPr>
        <w:spacing w:after="60"/>
        <w:ind w:left="510" w:hanging="510"/>
      </w:pPr>
      <w:r>
        <w:rPr>
          <w:b/>
          <w:sz w:val="18"/>
        </w:rPr>
        <w:t xml:space="preserve">[r32] </w:t>
      </w:r>
      <w:r>
        <w:rPr>
          <w:sz w:val="18"/>
        </w:rPr>
        <w:t xml:space="preserve">Shin YH, Lee YH, Choi HS, Kim MB, Pyo SH, Baek GH. A modified deltoid splitting approach with axillary nerve bundle mobilization for proximal humeral fracture fixation. Injury. 2017;48(11):2569-2574. doi:10.1016/j.injury.2017.09.007 </w:t>
      </w:r>
      <w:r>
        <w:rPr>
          <w:i/>
          <w:color w:val="5A6469"/>
          <w:sz w:val="17"/>
        </w:rPr>
        <w:t xml:space="preserve">(serie · acceso resumen) </w:t>
      </w:r>
      <w:hyperlink r:id="rId21">
        <w:r>
          <w:rPr>
            <w:color w:val="0563C1"/>
            <w:u w:val="single"/>
            <w:sz w:val="18"/>
          </w:rPr>
          <w:t xml:space="preserve">https://doi.org/10.1016/j.injury.2017.09.007</w:t>
        </w:r>
      </w:hyperlink>
    </w:p>
    <w:p>
      <w:pPr>
        <w:spacing w:after="60"/>
        <w:ind w:left="510" w:hanging="510"/>
      </w:pPr>
      <w:r>
        <w:rPr>
          <w:b/>
          <w:sz w:val="18"/>
        </w:rPr>
        <w:t xml:space="preserve">[r33] </w:t>
      </w:r>
      <w:r>
        <w:rPr>
          <w:sz w:val="18"/>
        </w:rPr>
        <w:t xml:space="preserve">Launonen AP, Lepola V, Saranko A, Flinkkilä T, Laitinen M, Mattila VM. Epidemiology of proximal humerus fractures. Arch Osteoporos. 2015;10:209. doi:10.1007/s11657-015-0209-4 </w:t>
      </w:r>
      <w:r>
        <w:rPr>
          <w:i/>
          <w:color w:val="5A6469"/>
          <w:sz w:val="17"/>
        </w:rPr>
        <w:t xml:space="preserve">(cohorte · acceso resumen) </w:t>
      </w:r>
      <w:hyperlink r:id="rId26">
        <w:r>
          <w:rPr>
            <w:color w:val="0563C1"/>
            <w:u w:val="single"/>
            <w:sz w:val="18"/>
          </w:rPr>
          <w:t xml:space="preserve">https://doi.org/10.1007/s11657-015-0209-4</w:t>
        </w:r>
      </w:hyperlink>
    </w:p>
    <w:p>
      <w:pPr>
        <w:spacing w:after="60"/>
        <w:ind w:left="510" w:hanging="510"/>
      </w:pPr>
      <w:r>
        <w:rPr>
          <w:b/>
          <w:sz w:val="18"/>
        </w:rPr>
        <w:t xml:space="preserve">[r34]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resumen) </w:t>
      </w:r>
      <w:hyperlink r:id="rId27">
        <w:r>
          <w:rPr>
            <w:color w:val="0563C1"/>
            <w:u w:val="single"/>
            <w:sz w:val="18"/>
          </w:rPr>
          <w:t xml:space="preserve">https://doi.org/10.1002/14651858.CD000434.pub5</w:t>
        </w:r>
      </w:hyperlink>
    </w:p>
    <w:p>
      <w:pPr>
        <w:spacing w:after="60"/>
        <w:ind w:left="510" w:hanging="510"/>
      </w:pPr>
      <w:r>
        <w:rPr>
          <w:b/>
          <w:sz w:val="18"/>
        </w:rPr>
        <w:t xml:space="preserve">[r35] </w:t>
      </w:r>
      <w:r>
        <w:rPr>
          <w:sz w:val="18"/>
        </w:rPr>
        <w:t xml:space="preserve">Warrender WJ, Oppenheimer S, Abboud JA. Nerve monitoring during proximal humeral fracture fixation: what have we learned? Clin Orthop Relat Res. 2011;469(9):2631-7. doi:10.1007/s11999-010-1760-3 </w:t>
      </w:r>
      <w:r>
        <w:rPr>
          <w:i/>
          <w:color w:val="5A6469"/>
          <w:sz w:val="17"/>
        </w:rPr>
        <w:t xml:space="preserve">(cohorte · acceso resumen) </w:t>
      </w:r>
      <w:hyperlink r:id="rId28">
        <w:r>
          <w:rPr>
            <w:color w:val="0563C1"/>
            <w:u w:val="single"/>
            <w:sz w:val="18"/>
          </w:rPr>
          <w:t xml:space="preserve">https://doi.org/10.1007/s11999-010-1760-3</w:t>
        </w:r>
      </w:hyperlink>
    </w:p>
    <w:p>
      <w:pPr>
        <w:spacing w:after="60"/>
        <w:ind w:left="510" w:hanging="510"/>
      </w:pPr>
      <w:r>
        <w:rPr>
          <w:b/>
          <w:sz w:val="18"/>
        </w:rPr>
        <w:t xml:space="preserve">[r36] </w:t>
      </w:r>
      <w:r>
        <w:rPr>
          <w:sz w:val="18"/>
        </w:rPr>
        <w:t xml:space="preserve">Knežević J, Mihalj M, Čukelj F, Ivanišević A. MIPO of proximal humerus fractures through an anterolateral acromial approach. Is the axillary nerve at risk? Injury. 2017;48 Suppl 5:S15-S20. doi:10.1016/S0020-1383(17)30733-7 </w:t>
      </w:r>
      <w:r>
        <w:rPr>
          <w:i/>
          <w:color w:val="5A6469"/>
          <w:sz w:val="17"/>
        </w:rPr>
        <w:t xml:space="preserve">(cohorte · acceso resumen) </w:t>
      </w:r>
      <w:hyperlink r:id="rId29">
        <w:r>
          <w:rPr>
            <w:color w:val="0563C1"/>
            <w:u w:val="single"/>
            <w:sz w:val="18"/>
          </w:rPr>
          <w:t xml:space="preserve">https://doi.org/10.1016/S0020-1383(17)30733-7</w:t>
        </w:r>
      </w:hyperlink>
    </w:p>
    <w:p>
      <w:pPr>
        <w:spacing w:after="60"/>
        <w:ind w:left="510" w:hanging="510"/>
      </w:pPr>
      <w:r>
        <w:rPr>
          <w:b/>
          <w:sz w:val="18"/>
        </w:rPr>
        <w:t xml:space="preserve">[r37] </w:t>
      </w:r>
      <w:r>
        <w:rPr>
          <w:sz w:val="18"/>
        </w:rPr>
        <w:t xml:space="preserve">Boardman ND 3rd, Cofield RH. Neurologic complications of shoulder surgery. Clin Orthop Relat Res. 1999;(368):44-53. </w:t>
      </w:r>
      <w:r>
        <w:rPr>
          <w:i/>
          <w:color w:val="5A6469"/>
          <w:sz w:val="17"/>
        </w:rPr>
        <w:t xml:space="preserve">(revision · acceso resumen) </w:t>
      </w:r>
      <w:hyperlink r:id="rId30">
        <w:r>
          <w:rPr>
            <w:color w:val="0563C1"/>
            <w:u w:val="single"/>
            <w:sz w:val="18"/>
          </w:rPr>
          <w:t xml:space="preserve">https://pubmed.ncbi.nlm.nih.gov/10613152/</w:t>
        </w:r>
      </w:hyperlink>
    </w:p>
    <w:p>
      <w:pPr>
        <w:spacing w:after="60"/>
        <w:ind w:left="510" w:hanging="510"/>
      </w:pPr>
      <w:r>
        <w:rPr>
          <w:b/>
          <w:sz w:val="18"/>
        </w:rPr>
        <w:t xml:space="preserve">[r38] </w:t>
      </w:r>
      <w:r>
        <w:rPr>
          <w:sz w:val="18"/>
        </w:rPr>
        <w:t xml:space="preserve">Jaeger M, Leung F, Li W. Safe zones in the humerus [Internet]. En: AO Surgery Reference. Davos: AO Foundation [consultado 2026 oct 12]. Disponible en: https://surgeryreference.aofoundation.org/orthopedic-trauma/adult-trauma/proximal-humerus/approach/safe-zones-in-the-proximal-humerus </w:t>
      </w:r>
      <w:r>
        <w:rPr>
          <w:i/>
          <w:color w:val="5A6469"/>
          <w:sz w:val="17"/>
        </w:rPr>
        <w:t xml:space="preserve">(web-oficial · acceso abierto) </w:t>
      </w:r>
      <w:hyperlink r:id="rId32">
        <w:r>
          <w:rPr>
            <w:color w:val="0563C1"/>
            <w:u w:val="single"/>
            <w:sz w:val="18"/>
          </w:rPr>
          <w:t xml:space="preserve">https://surgeryreference.aofoundation.org/orthopedic-trauma/adult-trauma/proximal-humerus/approach/safe-zones-in-the-proximal-humerus</w:t>
        </w:r>
      </w:hyperlink>
    </w:p>
    <w:p>
      <w:pPr>
        <w:spacing w:after="60"/>
        <w:ind w:left="510" w:hanging="510"/>
      </w:pPr>
      <w:r>
        <w:rPr>
          <w:b/>
          <w:sz w:val="18"/>
        </w:rPr>
        <w:t xml:space="preserve">[r39] </w:t>
      </w:r>
      <w:r>
        <w:rPr>
          <w:sz w:val="18"/>
        </w:rPr>
        <w:t xml:space="preserve">Leechavengvongs S, Teerawutthichaikit T, Witoonchart K, Uerpairojkit C, Malungpaishrope K, Suppauksorn S, et al. Surgical anatomy of the axillary nerve branches to the deltoid muscle. Clin Anat. 2015;28(1):118-22. doi:10.1002/ca.22352 </w:t>
      </w:r>
      <w:r>
        <w:rPr>
          <w:i/>
          <w:color w:val="5A6469"/>
          <w:sz w:val="17"/>
        </w:rPr>
        <w:t xml:space="preserve">(serie · acceso resumen) </w:t>
      </w:r>
      <w:hyperlink r:id="rId33">
        <w:r>
          <w:rPr>
            <w:color w:val="0563C1"/>
            <w:u w:val="single"/>
            <w:sz w:val="18"/>
          </w:rPr>
          <w:t xml:space="preserve">https://doi.org/10.1002/ca.22352</w:t>
        </w:r>
      </w:hyperlink>
    </w:p>
    <w:p>
      <w:pPr>
        <w:spacing w:after="60"/>
        <w:ind w:left="510" w:hanging="510"/>
      </w:pPr>
      <w:r>
        <w:rPr>
          <w:b/>
          <w:sz w:val="18"/>
        </w:rPr>
        <w:t xml:space="preserve">[r40] </w:t>
      </w:r>
      <w:r>
        <w:rPr>
          <w:sz w:val="18"/>
        </w:rPr>
        <w:t xml:space="preserve">Loukas M, Grabska J, Tubbs RS, Apaydin N, Jordan R. Mapping the axillary nerve within the deltoid muscle. Surg Radiol Anat. 2009;31(1):43-7. doi:10.1007/s00276-008-0409-3 </w:t>
      </w:r>
      <w:r>
        <w:rPr>
          <w:i/>
          <w:color w:val="5A6469"/>
          <w:sz w:val="17"/>
        </w:rPr>
        <w:t xml:space="preserve">(serie · acceso resumen) </w:t>
      </w:r>
      <w:hyperlink r:id="rId34">
        <w:r>
          <w:rPr>
            <w:color w:val="0563C1"/>
            <w:u w:val="single"/>
            <w:sz w:val="18"/>
          </w:rPr>
          <w:t xml:space="preserve">https://doi.org/10.1007/s00276-008-0409-3</w:t>
        </w:r>
      </w:hyperlink>
    </w:p>
    <w:p>
      <w:pPr>
        <w:spacing w:after="60"/>
        <w:ind w:left="510" w:hanging="510"/>
      </w:pPr>
      <w:r>
        <w:rPr>
          <w:b/>
          <w:sz w:val="18"/>
        </w:rPr>
        <w:t xml:space="preserve">[r41] </w:t>
      </w:r>
      <w:r>
        <w:rPr>
          <w:sz w:val="18"/>
        </w:rPr>
        <w:t xml:space="preserve">Cetik O, Uslu M, Acar HI, Comert A, Tekdemir I, Cift H. Is there a safe area for the axillary nerve in the deltoid muscle? A cadaveric study. J Bone Joint Surg Am. 2006;88(11):2395-9. doi:10.2106/JBJS.E.01375 </w:t>
      </w:r>
      <w:r>
        <w:rPr>
          <w:i/>
          <w:color w:val="5A6469"/>
          <w:sz w:val="17"/>
        </w:rPr>
        <w:t xml:space="preserve">(serie · acceso resumen) </w:t>
      </w:r>
      <w:hyperlink r:id="rId41">
        <w:r>
          <w:rPr>
            <w:color w:val="0563C1"/>
            <w:u w:val="single"/>
            <w:sz w:val="18"/>
          </w:rPr>
          <w:t xml:space="preserve">https://doi.org/10.2106/JBJS.E.01375</w:t>
        </w:r>
      </w:hyperlink>
    </w:p>
    <w:p>
      <w:pPr>
        <w:spacing w:after="60"/>
        <w:ind w:left="510" w:hanging="510"/>
      </w:pPr>
      <w:r>
        <w:rPr>
          <w:b/>
          <w:sz w:val="18"/>
        </w:rPr>
        <w:t xml:space="preserve">[r42] </w:t>
      </w:r>
      <w:r>
        <w:rPr>
          <w:sz w:val="18"/>
        </w:rPr>
        <w:t xml:space="preserve">Lottino B, Hohmann E, Naicker J, Mogale N. Morphometric analysis of the axillary nerve in relation to the deltopectoral and deltoid-splitting approaches: implications for surgical safe zones. Surg Radiol Anat. 2026;48(1):255. doi:10.1007/s00276-026-04018-2 </w:t>
      </w:r>
      <w:r>
        <w:rPr>
          <w:i/>
          <w:color w:val="5A6469"/>
          <w:sz w:val="17"/>
        </w:rPr>
        <w:t xml:space="preserve">(serie · acceso resumen) </w:t>
      </w:r>
      <w:hyperlink r:id="rId42">
        <w:r>
          <w:rPr>
            <w:color w:val="0563C1"/>
            <w:u w:val="single"/>
            <w:sz w:val="18"/>
          </w:rPr>
          <w:t xml:space="preserve">https://doi.org/10.1007/s00276-026-04018-2</w:t>
        </w:r>
      </w:hyperlink>
    </w:p>
    <w:p>
      <w:pPr>
        <w:spacing w:after="60"/>
        <w:ind w:left="510" w:hanging="510"/>
      </w:pPr>
      <w:r>
        <w:rPr>
          <w:b/>
          <w:sz w:val="18"/>
        </w:rPr>
        <w:t xml:space="preserve">[r43] </w:t>
      </w:r>
      <w:r>
        <w:rPr>
          <w:sz w:val="18"/>
        </w:rPr>
        <w:t xml:space="preserve">Benninger E, Meier C. Minimally invasive lateral plate placement for metadiaphyseal fractures of the humerus and its implications for the distal deltoid insertion- it is not only about the radial nerve. A cadaveric study. Injury. 2017;48(3):615-620. doi:10.1016/j.injury.2017.01.026 </w:t>
      </w:r>
      <w:r>
        <w:rPr>
          <w:i/>
          <w:color w:val="5A6469"/>
          <w:sz w:val="17"/>
        </w:rPr>
        <w:t xml:space="preserve">(serie · acceso resumen) </w:t>
      </w:r>
      <w:hyperlink r:id="rId44">
        <w:r>
          <w:rPr>
            <w:color w:val="0563C1"/>
            <w:u w:val="single"/>
            <w:sz w:val="18"/>
          </w:rPr>
          <w:t xml:space="preserve">https://doi.org/10.1016/j.injury.2017.01.026</w:t>
        </w:r>
      </w:hyperlink>
    </w:p>
    <w:p>
      <w:pPr>
        <w:spacing w:after="60"/>
        <w:ind w:left="510" w:hanging="510"/>
      </w:pPr>
      <w:r>
        <w:rPr>
          <w:b/>
          <w:sz w:val="18"/>
        </w:rPr>
        <w:t xml:space="preserve">[r44] </w:t>
      </w:r>
      <w:r>
        <w:rPr>
          <w:sz w:val="18"/>
        </w:rPr>
        <w:t xml:space="preserve">Pant S, Bokor DJ, Low AK. Cerebral oxygenation using near-infrared spectroscopy in the beach-chair position during shoulder arthroscopy under general anesthesia. Arthroscopy. 2014;30(11):1520-7. doi:10.1016/j.arthro.2014.05.042 </w:t>
      </w:r>
      <w:r>
        <w:rPr>
          <w:i/>
          <w:color w:val="5A6469"/>
          <w:sz w:val="17"/>
        </w:rPr>
        <w:t xml:space="preserve">(RS-MA · acceso resumen) </w:t>
      </w:r>
      <w:hyperlink r:id="rId45">
        <w:r>
          <w:rPr>
            <w:color w:val="0563C1"/>
            <w:u w:val="single"/>
            <w:sz w:val="18"/>
          </w:rPr>
          <w:t xml:space="preserve">https://doi.org/10.1016/j.arthro.2014.05.042</w:t>
        </w:r>
      </w:hyperlink>
    </w:p>
    <w:p>
      <w:pPr>
        <w:spacing w:after="60"/>
        <w:ind w:left="510" w:hanging="510"/>
      </w:pPr>
      <w:r>
        <w:rPr>
          <w:b/>
          <w:sz w:val="18"/>
        </w:rPr>
        <w:t xml:space="preserve">[r45] </w:t>
      </w:r>
      <w:r>
        <w:rPr>
          <w:sz w:val="18"/>
        </w:rPr>
        <w:t xml:space="preserve">Hermans J, Luime JJ, Meuffels DE, Reijman M, Simel DL, Bierma-Zeinstra SM. Does this patient with shoulder pain have rotator cuff disease?: The Rational Clinical Examination systematic review. JAMA. 2013;310(8):837-47. doi:10.1001/jama.2013.276187 </w:t>
      </w:r>
      <w:r>
        <w:rPr>
          <w:i/>
          <w:color w:val="5A6469"/>
          <w:sz w:val="17"/>
        </w:rPr>
        <w:t xml:space="preserve">(RS-MA · acceso resumen) </w:t>
      </w:r>
      <w:hyperlink r:id="rId46">
        <w:r>
          <w:rPr>
            <w:color w:val="0563C1"/>
            <w:u w:val="single"/>
            <w:sz w:val="18"/>
          </w:rPr>
          <w:t xml:space="preserve">https://doi.org/10.1001/jama.2013.276187</w:t>
        </w:r>
      </w:hyperlink>
    </w:p>
    <w:p>
      <w:pPr>
        <w:spacing w:after="60"/>
        <w:ind w:left="510" w:hanging="510"/>
      </w:pPr>
      <w:r>
        <w:rPr>
          <w:b/>
          <w:sz w:val="18"/>
        </w:rPr>
        <w:t xml:space="preserve">[r46] </w:t>
      </w:r>
      <w:r>
        <w:rPr>
          <w:sz w:val="18"/>
        </w:rPr>
        <w:t xml:space="preserve">Expert Panel on Musculoskeletal Imaging; Laur O, Ha AS, Bartolotta RJ, Avery R, Bateni CP, et al. ACR Appropriateness Criteria® Acute Shoulder Pain: 2024 Update. J Am Coll Radiol. 2025;22(5S):S36-S47. doi:10.1016/j.jacr.2025.02.015 </w:t>
      </w:r>
      <w:r>
        <w:rPr>
          <w:i/>
          <w:color w:val="5A6469"/>
          <w:sz w:val="17"/>
        </w:rPr>
        <w:t xml:space="preserve">(guia · acceso resumen) </w:t>
      </w:r>
      <w:hyperlink r:id="rId48">
        <w:r>
          <w:rPr>
            <w:color w:val="0563C1"/>
            <w:u w:val="single"/>
            <w:sz w:val="18"/>
          </w:rPr>
          <w:t xml:space="preserve">https://doi.org/10.1016/j.jacr.2025.02.015</w:t>
        </w:r>
      </w:hyperlink>
    </w:p>
    <w:p>
      <w:pPr>
        <w:spacing w:after="60"/>
        <w:ind w:left="510" w:hanging="510"/>
      </w:pPr>
      <w:r>
        <w:rPr>
          <w:b/>
          <w:sz w:val="18"/>
        </w:rPr>
        <w:t xml:space="preserve">[r47] </w:t>
      </w:r>
      <w:r>
        <w:rPr>
          <w:sz w:val="18"/>
        </w:rPr>
        <w:t xml:space="preserve">Williams AA, Dey Hazra RO, Dornan G, Abboud JA, Abrams JS, Green A, et al. Consensus statement on the treatment of proximal humerus fractures: a Delphi approach by the Neer Circle of the American Shoulder and Elbow Surgeons. J Shoulder Elbow Surg. 2025;34(8):1977-1988. doi:10.1016/j.jse.2024.12.005 </w:t>
      </w:r>
      <w:r>
        <w:rPr>
          <w:i/>
          <w:color w:val="5A6469"/>
          <w:sz w:val="17"/>
        </w:rPr>
        <w:t xml:space="preserve">(guia · acceso resumen) </w:t>
      </w:r>
      <w:hyperlink r:id="rId49">
        <w:r>
          <w:rPr>
            <w:color w:val="0563C1"/>
            <w:u w:val="single"/>
            <w:sz w:val="18"/>
          </w:rPr>
          <w:t xml:space="preserve">https://doi.org/10.1016/j.jse.2024.12.005</w:t>
        </w:r>
      </w:hyperlink>
    </w:p>
    <w:p>
      <w:pPr>
        <w:spacing w:after="60"/>
        <w:ind w:left="510" w:hanging="510"/>
      </w:pPr>
      <w:r>
        <w:rPr>
          <w:b/>
          <w:sz w:val="18"/>
        </w:rPr>
        <w:t xml:space="preserve">[r48] </w:t>
      </w:r>
      <w:r>
        <w:rPr>
          <w:sz w:val="18"/>
        </w:rPr>
        <w:t xml:space="preserve">Lenza M, Buchbinder R, Takwoingi Y, Johnston RV, Hanchard NC, Faloppa F. Magnetic resonance imaging, magnetic resonance arthrography and ultrasonography for assessing rotator cuff tears in people with shoulder pain for whom surgery is being considered. Cochrane Database Syst Rev. 2013;2013(9):CD009020. doi:10.1002/14651858.CD009020.pub2 </w:t>
      </w:r>
      <w:r>
        <w:rPr>
          <w:i/>
          <w:color w:val="5A6469"/>
          <w:sz w:val="17"/>
        </w:rPr>
        <w:t xml:space="preserve">(RS-MA · acceso resumen) </w:t>
      </w:r>
      <w:hyperlink r:id="rId50">
        <w:r>
          <w:rPr>
            <w:color w:val="0563C1"/>
            <w:u w:val="single"/>
            <w:sz w:val="18"/>
          </w:rPr>
          <w:t xml:space="preserve">https://doi.org/10.1002/14651858.CD009020.pub2</w:t>
        </w:r>
      </w:hyperlink>
    </w:p>
    <w:p>
      <w:pPr>
        <w:spacing w:after="60"/>
        <w:ind w:left="510" w:hanging="510"/>
      </w:pPr>
      <w:r>
        <w:rPr>
          <w:b/>
          <w:sz w:val="18"/>
        </w:rPr>
        <w:t xml:space="preserve">[r49] </w:t>
      </w:r>
      <w:r>
        <w:rPr>
          <w:sz w:val="18"/>
        </w:rPr>
        <w:t xml:space="preserve">Ninck J, Heck S, Gick S, Koebke J, Pennig D, Dargel J. Versorgung von Humeruskopffrakturen [Treatment of proximal humerus fractures: relative position of different locking plates to the axillary nerve]. Unfallchirurg. 2013;116(11):1000-5. doi:10.1007/s00113-012-2242-8 </w:t>
      </w:r>
      <w:r>
        <w:rPr>
          <w:i/>
          <w:color w:val="5A6469"/>
          <w:sz w:val="17"/>
        </w:rPr>
        <w:t xml:space="preserve">(serie · acceso resumen) </w:t>
      </w:r>
      <w:hyperlink r:id="rId59">
        <w:r>
          <w:rPr>
            <w:color w:val="0563C1"/>
            <w:u w:val="single"/>
            <w:sz w:val="18"/>
          </w:rPr>
          <w:t xml:space="preserve">https://doi.org/10.1007/s00113-012-2242-8</w:t>
        </w:r>
      </w:hyperlink>
    </w:p>
    <w:p>
      <w:pPr>
        <w:spacing w:after="60"/>
        <w:ind w:left="510" w:hanging="510"/>
      </w:pPr>
      <w:r>
        <w:rPr>
          <w:b/>
          <w:sz w:val="18"/>
        </w:rPr>
        <w:t xml:space="preserve">[r50] </w:t>
      </w:r>
      <w:r>
        <w:rPr>
          <w:sz w:val="18"/>
        </w:rPr>
        <w:t xml:space="preserve">Gstoettner C, Laengle G, Boesendorfer A, Sturma A, Politikou O, Salminger S, et al. Free functional gracilis transfer for reconstruction of isolated anterior deltoid atrophy following surgical proximal humerus fixation. J Plast Reconstr Aesthet Surg. 2024;99:160-167. doi:10.1016/j.bjps.2024.09.003 </w:t>
      </w:r>
      <w:r>
        <w:rPr>
          <w:i/>
          <w:color w:val="5A6469"/>
          <w:sz w:val="17"/>
        </w:rPr>
        <w:t xml:space="preserve">(serie · acceso resumen) </w:t>
      </w:r>
      <w:hyperlink r:id="rId66">
        <w:r>
          <w:rPr>
            <w:color w:val="0563C1"/>
            <w:u w:val="single"/>
            <w:sz w:val="18"/>
          </w:rPr>
          <w:t xml:space="preserve">https://doi.org/10.1016/j.bjps.2024.09.003</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Abordaje lateral transdeltoideo del hombro: ventana, nervio axilar, MIPO y comparación con el deltopectoral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rgeryreference.aofoundation.org/orthopedic-trauma/adult-trauma/proximal-humerus/approach/transdeltoid-lateral-approach" TargetMode="External"/><Relationship Id="rId12" Type="http://schemas.openxmlformats.org/officeDocument/2006/relationships/hyperlink" Target="https://doi.org/10.1530/EOR-22-0110" TargetMode="External"/><Relationship Id="rId13" Type="http://schemas.openxmlformats.org/officeDocument/2006/relationships/hyperlink" Target="https://doi.org/10.1016/j.injury.2020.11.022" TargetMode="External"/><Relationship Id="rId14" Type="http://schemas.openxmlformats.org/officeDocument/2006/relationships/hyperlink" Target="https://doi.org/10.2106/00004623-200407000-00008" TargetMode="External"/><Relationship Id="rId15" Type="http://schemas.openxmlformats.org/officeDocument/2006/relationships/hyperlink" Target="https://surgeryreference.aofoundation.org/orthopedic-trauma/adult-trauma/proximal-humerus/approach/anterolateral-approach" TargetMode="External"/><Relationship Id="rId16" Type="http://schemas.openxmlformats.org/officeDocument/2006/relationships/hyperlink" Target="https://doi.org/10.1007/s00064-011-0051-9" TargetMode="External"/><Relationship Id="rId17" Type="http://schemas.openxmlformats.org/officeDocument/2006/relationships/hyperlink" Target="https://doi.org/10.1186/1471-2474-15-206" TargetMode="External"/><Relationship Id="rId18" Type="http://schemas.openxmlformats.org/officeDocument/2006/relationships/hyperlink" Target="https://doi.org/10.1016/j.otsr.2018.12.004" TargetMode="External"/><Relationship Id="rId19" Type="http://schemas.openxmlformats.org/officeDocument/2006/relationships/hyperlink" Target="https://doi.org/10.1007/s11999-011-1861-7" TargetMode="External"/><Relationship Id="rId20" Type="http://schemas.openxmlformats.org/officeDocument/2006/relationships/hyperlink" Target="https://surgeryreference.aofoundation.org/orthopedic-trauma/adult-trauma/proximal-humerus/approach/deltopectoral-approach-to-the-proximal-humerus" TargetMode="External"/><Relationship Id="rId21" Type="http://schemas.openxmlformats.org/officeDocument/2006/relationships/hyperlink" Target="https://doi.org/10.1016/j.injury.2017.09.007" TargetMode="External"/><Relationship Id="rId22" Type="http://schemas.openxmlformats.org/officeDocument/2006/relationships/hyperlink" Target="https://doi.org/10.1016/j.jse.2020.06.020" TargetMode="External"/><Relationship Id="rId23" Type="http://schemas.openxmlformats.org/officeDocument/2006/relationships/hyperlink" Target="https://doi.org/10.1016/j.jos.2021.11.004" TargetMode="External"/><Relationship Id="rId24" Type="http://schemas.openxmlformats.org/officeDocument/2006/relationships/hyperlink" Target="https://doi.org/10.1067/mse.2001.118002" TargetMode="External"/><Relationship Id="rId25" Type="http://schemas.openxmlformats.org/officeDocument/2006/relationships/hyperlink" Target="https://doi.org/10.1016/j.jse.2016.07.027" TargetMode="External"/><Relationship Id="rId26" Type="http://schemas.openxmlformats.org/officeDocument/2006/relationships/hyperlink" Target="https://doi.org/10.1007/s11657-015-0209-4" TargetMode="External"/><Relationship Id="rId27" Type="http://schemas.openxmlformats.org/officeDocument/2006/relationships/hyperlink" Target="https://doi.org/10.1002/14651858.CD000434.pub5" TargetMode="External"/><Relationship Id="rId28" Type="http://schemas.openxmlformats.org/officeDocument/2006/relationships/hyperlink" Target="https://doi.org/10.1007/s11999-010-1760-3" TargetMode="External"/><Relationship Id="rId29" Type="http://schemas.openxmlformats.org/officeDocument/2006/relationships/hyperlink" Target="https://doi.org/10.1016/S0020-1383(17)30733-7" TargetMode="External"/><Relationship Id="rId30" Type="http://schemas.openxmlformats.org/officeDocument/2006/relationships/hyperlink" Target="https://pubmed.ncbi.nlm.nih.gov/10613152/" TargetMode="External"/><Relationship Id="rId31" Type="http://schemas.openxmlformats.org/officeDocument/2006/relationships/hyperlink" Target="https://doi.org/10.1097/01.bot.0000246412.10176.14" TargetMode="External"/><Relationship Id="rId32" Type="http://schemas.openxmlformats.org/officeDocument/2006/relationships/hyperlink" Target="https://surgeryreference.aofoundation.org/orthopedic-trauma/adult-trauma/proximal-humerus/approach/safe-zones-in-the-proximal-humerus" TargetMode="External"/><Relationship Id="rId33" Type="http://schemas.openxmlformats.org/officeDocument/2006/relationships/hyperlink" Target="https://doi.org/10.1002/ca.22352" TargetMode="External"/><Relationship Id="rId34" Type="http://schemas.openxmlformats.org/officeDocument/2006/relationships/hyperlink" Target="https://doi.org/10.1007/s00276-008-0409-3" TargetMode="External"/><Relationship Id="rId35" Type="http://schemas.openxmlformats.org/officeDocument/2006/relationships/image" Target="media/image1.png"/><Relationship Id="rId36" Type="http://schemas.openxmlformats.org/officeDocument/2006/relationships/hyperlink" Target="https://doi.org/10.1016/S1058-2746(09)80014-1" TargetMode="External"/><Relationship Id="rId37" Type="http://schemas.openxmlformats.org/officeDocument/2006/relationships/hyperlink" Target="https://doi.org/10.1097/BOT.0000000000000492" TargetMode="External"/><Relationship Id="rId38" Type="http://schemas.openxmlformats.org/officeDocument/2006/relationships/hyperlink" Target="https://doi.org/10.1016/j.jse.2008.12.001" TargetMode="External"/><Relationship Id="rId39" Type="http://schemas.openxmlformats.org/officeDocument/2006/relationships/hyperlink" Target="https://doi.org/10.1016/j.jse.2010.05.010" TargetMode="External"/><Relationship Id="rId40" Type="http://schemas.openxmlformats.org/officeDocument/2006/relationships/hyperlink" Target="https://doi.org/10.1186/s13018-022-03085-6" TargetMode="External"/><Relationship Id="rId41" Type="http://schemas.openxmlformats.org/officeDocument/2006/relationships/hyperlink" Target="https://doi.org/10.2106/JBJS.E.01375" TargetMode="External"/><Relationship Id="rId42" Type="http://schemas.openxmlformats.org/officeDocument/2006/relationships/hyperlink" Target="https://doi.org/10.1007/s00276-026-04018-2" TargetMode="External"/><Relationship Id="rId43" Type="http://schemas.openxmlformats.org/officeDocument/2006/relationships/image" Target="media/image2.png"/><Relationship Id="rId44" Type="http://schemas.openxmlformats.org/officeDocument/2006/relationships/hyperlink" Target="https://doi.org/10.1016/j.injury.2017.01.026" TargetMode="External"/><Relationship Id="rId45" Type="http://schemas.openxmlformats.org/officeDocument/2006/relationships/hyperlink" Target="https://doi.org/10.1016/j.arthro.2014.05.042" TargetMode="External"/><Relationship Id="rId46" Type="http://schemas.openxmlformats.org/officeDocument/2006/relationships/hyperlink" Target="https://doi.org/10.1001/jama.2013.276187" TargetMode="External"/><Relationship Id="rId47" Type="http://schemas.openxmlformats.org/officeDocument/2006/relationships/image" Target="media/image3.png"/><Relationship Id="rId48" Type="http://schemas.openxmlformats.org/officeDocument/2006/relationships/hyperlink" Target="https://doi.org/10.1016/j.jacr.2025.02.015" TargetMode="External"/><Relationship Id="rId49" Type="http://schemas.openxmlformats.org/officeDocument/2006/relationships/hyperlink" Target="https://doi.org/10.1016/j.jse.2024.12.005" TargetMode="External"/><Relationship Id="rId50" Type="http://schemas.openxmlformats.org/officeDocument/2006/relationships/hyperlink" Target="https://doi.org/10.1002/14651858.CD009020.pub2" TargetMode="External"/><Relationship Id="rId51" Type="http://schemas.openxmlformats.org/officeDocument/2006/relationships/hyperlink" Target="https://doi.org/10.1007/s00068-019-01076-7" TargetMode="External"/><Relationship Id="rId52" Type="http://schemas.openxmlformats.org/officeDocument/2006/relationships/hyperlink" Target="https://doi.org/10.1007/s00068-021-01761-6" TargetMode="External"/><Relationship Id="rId53" Type="http://schemas.openxmlformats.org/officeDocument/2006/relationships/hyperlink" Target="https://doi.org/10.1097/01.blo.0000152872.95806.09" TargetMode="External"/><Relationship Id="rId54" Type="http://schemas.openxmlformats.org/officeDocument/2006/relationships/hyperlink" Target="https://doi.org/10.1007/s00264-015-3069-z" TargetMode="External"/><Relationship Id="rId55" Type="http://schemas.openxmlformats.org/officeDocument/2006/relationships/hyperlink" Target="https://doi.org/10.1097/BOT.0b013e318157f0cd" TargetMode="External"/><Relationship Id="rId56" Type="http://schemas.openxmlformats.org/officeDocument/2006/relationships/image" Target="media/image4.png"/><Relationship Id="rId57" Type="http://schemas.openxmlformats.org/officeDocument/2006/relationships/hyperlink" Target="https://doi.org/10.1016/j.jse.2019.01.019" TargetMode="External"/><Relationship Id="rId58" Type="http://schemas.openxmlformats.org/officeDocument/2006/relationships/hyperlink" Target="https://doi.org/10.1016/j.injury.2006.08.025" TargetMode="External"/><Relationship Id="rId59" Type="http://schemas.openxmlformats.org/officeDocument/2006/relationships/hyperlink" Target="https://doi.org/10.1007/s00113-012-2242-8" TargetMode="External"/><Relationship Id="rId60" Type="http://schemas.openxmlformats.org/officeDocument/2006/relationships/image" Target="media/image5.png"/><Relationship Id="rId61" Type="http://schemas.openxmlformats.org/officeDocument/2006/relationships/image" Target="media/image6.png"/><Relationship Id="rId62" Type="http://schemas.openxmlformats.org/officeDocument/2006/relationships/hyperlink" Target="https://doi.org/10.1007/s11999-013-3415-7" TargetMode="External"/><Relationship Id="rId63" Type="http://schemas.openxmlformats.org/officeDocument/2006/relationships/hyperlink" Target="https://doi.org/10.3892/etm.2023.11995" TargetMode="External"/><Relationship Id="rId64" Type="http://schemas.openxmlformats.org/officeDocument/2006/relationships/hyperlink" Target="https://doi.org/10.1186/s12891-019-2936-y" TargetMode="External"/><Relationship Id="rId65" Type="http://schemas.openxmlformats.org/officeDocument/2006/relationships/image" Target="media/image7.png"/><Relationship Id="rId66" Type="http://schemas.openxmlformats.org/officeDocument/2006/relationships/hyperlink" Target="https://doi.org/10.1016/j.bjps.2024.09.003" TargetMode="External"/><Relationship Id="rId67" Type="http://schemas.openxmlformats.org/officeDocument/2006/relationships/image" Target="media/image8.png"/><Relationship Id="rId68" Type="http://schemas.openxmlformats.org/officeDocument/2006/relationships/hyperlink" Target="https://www.youtube.com/watch?v=8fXSXp1OWNI" TargetMode="External"/><Relationship Id="rId69" Type="http://schemas.openxmlformats.org/officeDocument/2006/relationships/hyperlink" Target="https://doi.org/10.1016/j.injury.2010.04.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Abordaje lateral transdeltoideo del hombro: ventana, nervio axilar, MIPO y comparación con el deltopectoral</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