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r>
        <w:rPr>
          <w:color w:val="5A6469"/>
          <w:sz w:val="26"/>
        </w:rPr>
        <w:t>Revisión bibliográfica</w:t>
      </w:r>
    </w:p>
    <w:p>
      <w:pPr>
        <w:pStyle w:val="Title"/>
      </w:pPr>
      <w:r>
        <w:t>Patógenos relevantes para el traumatólogo</w:t>
      </w:r>
    </w:p>
    <w:p>
      <w:r>
        <w:rPr>
          <w:sz w:val="24"/>
        </w:rPr>
        <w:t>Infecciones · Infecciones especificas · Nivel R1-R3</w:t>
      </w:r>
    </w:p>
    <w:p>
      <w:r>
        <w:t>Actualizado: 2026-10-09</w:t>
      </w:r>
    </w:p>
    <w:p>
      <w:r>
        <w:rPr>
          <w:color w:val="5A6469"/>
          <w:sz w:val="20"/>
        </w:rPr>
        <w:t>Verificación independiente: Verificador independiente (Claude Opus 5.5, editor médico + revisión de derechos de autor) · 2026-10-09 · 670 cifras revisadas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FF4DD"/>
          </w:tcPr>
          <w:p>
            <w:r/>
            <w:r>
              <w:rPr>
                <w:b/>
                <w:sz w:val="20"/>
              </w:rPr>
              <w:t xml:space="preserve">Aviso educativo. </w:t>
            </w:r>
            <w:r>
              <w:rPr>
                <w:sz w:val="20"/>
              </w:rPr>
              <w:t>Material educativo para profesionales y estudiantes de medicina. No reemplaza el juicio clínico, las guías institucionales ni la supervisión del tutor.</w:t>
            </w:r>
          </w:p>
        </w:tc>
      </w:tr>
    </w:tbl>
    <w:p/>
    <w:p>
      <w:r>
        <w:rPr>
          <w:color w:val="5A6469"/>
          <w:sz w:val="18"/>
        </w:rPr>
        <w:t>Biblioteca de Traumatología y Ortopedia · t.cescac.com. Texto original; las fuentes se citan con su DOI.</w:t>
      </w:r>
    </w:p>
    <w:p>
      <w:r>
        <w:br w:type="page"/>
      </w:r>
    </w:p>
    <w:p>
      <w:pPr>
        <w:pStyle w:val="Heading1"/>
      </w:pPr>
      <w:r>
        <w:t>Contenido</w:t>
      </w:r>
    </w:p>
    <w:p>
      <w:pPr>
        <w:spacing w:after="60"/>
        <w:ind w:left="510" w:hanging="340"/>
      </w:pPr>
      <w:r>
        <w:rPr>
          <w:b/>
        </w:rPr>
        <w:t xml:space="preserve">1. </w:t>
      </w:r>
      <w:r>
        <w:rPr/>
        <w:t>En 30 segundos</w:t>
      </w:r>
    </w:p>
    <w:p>
      <w:pPr>
        <w:spacing w:after="60"/>
        <w:ind w:left="510" w:hanging="340"/>
      </w:pPr>
      <w:r>
        <w:rPr>
          <w:b/>
        </w:rPr>
        <w:t xml:space="preserve">2. </w:t>
      </w:r>
      <w:r>
        <w:rPr/>
        <w:t>Pilares</w:t>
      </w:r>
    </w:p>
    <w:p>
      <w:pPr>
        <w:spacing w:after="60"/>
        <w:ind w:left="510" w:hanging="340"/>
      </w:pPr>
      <w:r>
        <w:rPr>
          <w:b/>
        </w:rPr>
        <w:t xml:space="preserve">3. </w:t>
      </w:r>
      <w:r>
        <w:rPr/>
        <w:t>No olvidar</w:t>
      </w:r>
    </w:p>
    <w:p>
      <w:pPr>
        <w:spacing w:after="60"/>
        <w:ind w:left="510" w:hanging="340"/>
      </w:pPr>
      <w:r>
        <w:rPr>
          <w:b/>
        </w:rPr>
        <w:t xml:space="preserve">4. </w:t>
      </w:r>
      <w:r>
        <w:rPr/>
        <w:t>Definición y alcance</w:t>
      </w:r>
    </w:p>
    <w:p>
      <w:pPr>
        <w:spacing w:after="60"/>
        <w:ind w:left="510" w:hanging="340"/>
      </w:pPr>
      <w:r>
        <w:rPr>
          <w:b/>
        </w:rPr>
        <w:t xml:space="preserve">5. </w:t>
      </w:r>
      <w:r>
        <w:rPr/>
        <w:t>Epidemiología: quién causa qué</w:t>
      </w:r>
    </w:p>
    <w:p>
      <w:pPr>
        <w:spacing w:after="60"/>
        <w:ind w:left="510" w:hanging="340"/>
      </w:pPr>
      <w:r>
        <w:rPr>
          <w:b/>
        </w:rPr>
        <w:t xml:space="preserve">6. </w:t>
      </w:r>
      <w:r>
        <w:rPr/>
        <w:t>Mecanismo: cómo entra el germen y por qué se queda</w:t>
      </w:r>
    </w:p>
    <w:p>
      <w:pPr>
        <w:spacing w:after="60"/>
        <w:ind w:left="510" w:hanging="340"/>
      </w:pPr>
      <w:r>
        <w:rPr>
          <w:b/>
        </w:rPr>
        <w:t xml:space="preserve">7. </w:t>
      </w:r>
      <w:r>
        <w:rPr/>
        <w:t>Perfil por patógeno: dónde aparece y qué lo distingue</w:t>
      </w:r>
    </w:p>
    <w:p>
      <w:pPr>
        <w:spacing w:after="60"/>
        <w:ind w:left="510" w:hanging="340"/>
      </w:pPr>
      <w:r>
        <w:rPr>
          <w:b/>
        </w:rPr>
        <w:t xml:space="preserve">8. </w:t>
      </w:r>
      <w:r>
        <w:rPr/>
        <w:t>Cómo agruparlos para decidir</w:t>
      </w:r>
    </w:p>
    <w:p>
      <w:pPr>
        <w:spacing w:after="60"/>
        <w:ind w:left="510" w:hanging="340"/>
      </w:pPr>
      <w:r>
        <w:rPr>
          <w:b/>
        </w:rPr>
        <w:t xml:space="preserve">9. </w:t>
      </w:r>
      <w:r>
        <w:rPr/>
        <w:t>Diagnóstico microbiológico: cómo se confirma el germen</w:t>
      </w:r>
    </w:p>
    <w:p>
      <w:pPr>
        <w:spacing w:after="60"/>
        <w:ind w:left="510" w:hanging="340"/>
      </w:pPr>
      <w:r>
        <w:rPr>
          <w:b/>
        </w:rPr>
        <w:t xml:space="preserve">10. </w:t>
      </w:r>
      <w:r>
        <w:rPr/>
        <w:t>Algoritmo: del paciente con sospecha de infección al antibiótico dirigido</w:t>
      </w:r>
    </w:p>
    <w:p>
      <w:pPr>
        <w:spacing w:after="60"/>
        <w:ind w:left="510" w:hanging="340"/>
      </w:pPr>
      <w:r>
        <w:rPr>
          <w:b/>
        </w:rPr>
        <w:t xml:space="preserve">11. </w:t>
      </w:r>
      <w:r>
        <w:rPr/>
        <w:t>Tratamiento: cirugía, vía, duración y la pareja de antibióticos</w:t>
      </w:r>
    </w:p>
    <w:p>
      <w:pPr>
        <w:spacing w:after="60"/>
        <w:ind w:left="510" w:hanging="340"/>
      </w:pPr>
      <w:r>
        <w:rPr>
          <w:b/>
        </w:rPr>
        <w:t xml:space="preserve">12. </w:t>
      </w:r>
      <w:r>
        <w:rPr/>
        <w:t>Técnica: tomar las muestras en quirófano para que el cultivo valga</w:t>
      </w:r>
    </w:p>
    <w:p>
      <w:pPr>
        <w:spacing w:after="60"/>
        <w:ind w:left="510" w:hanging="340"/>
      </w:pPr>
      <w:r>
        <w:rPr>
          <w:b/>
        </w:rPr>
        <w:t xml:space="preserve">13. </w:t>
      </w:r>
      <w:r>
        <w:rPr/>
        <w:t>Staphylococcus aureus: MSSA y MRSA</w:t>
      </w:r>
    </w:p>
    <w:p>
      <w:pPr>
        <w:spacing w:after="60"/>
        <w:ind w:left="510" w:hanging="340"/>
      </w:pPr>
      <w:r>
        <w:rPr>
          <w:b/>
        </w:rPr>
        <w:t xml:space="preserve">14. </w:t>
      </w:r>
      <w:r>
        <w:rPr/>
        <w:t>Estafilococos coagulasa negativos (SCN)</w:t>
      </w:r>
    </w:p>
    <w:p>
      <w:pPr>
        <w:spacing w:after="60"/>
        <w:ind w:left="510" w:hanging="340"/>
      </w:pPr>
      <w:r>
        <w:rPr>
          <w:b/>
        </w:rPr>
        <w:t xml:space="preserve">15. </w:t>
      </w:r>
      <w:r>
        <w:rPr/>
        <w:t>Pseudomonas aeruginosa y otros Gram negativos</w:t>
      </w:r>
    </w:p>
    <w:p>
      <w:pPr>
        <w:spacing w:after="60"/>
        <w:ind w:left="510" w:hanging="340"/>
      </w:pPr>
      <w:r>
        <w:rPr>
          <w:b/>
        </w:rPr>
        <w:t xml:space="preserve">16. </w:t>
      </w:r>
      <w:r>
        <w:rPr/>
        <w:t>Anaerobios: Cutibacterium acnes en hombro y columna</w:t>
      </w:r>
    </w:p>
    <w:p>
      <w:pPr>
        <w:spacing w:after="60"/>
        <w:ind w:left="510" w:hanging="340"/>
      </w:pPr>
      <w:r>
        <w:rPr>
          <w:b/>
        </w:rPr>
        <w:t xml:space="preserve">17. </w:t>
      </w:r>
      <w:r>
        <w:rPr/>
        <w:t>Mordeduras humanas y animales</w:t>
      </w:r>
    </w:p>
    <w:p>
      <w:pPr>
        <w:spacing w:after="60"/>
        <w:ind w:left="510" w:hanging="340"/>
      </w:pPr>
      <w:r>
        <w:rPr>
          <w:b/>
        </w:rPr>
        <w:t xml:space="preserve">18. </w:t>
      </w:r>
      <w:r>
        <w:rPr/>
        <w:t>Kingella kingae en el niño pequeño</w:t>
      </w:r>
    </w:p>
    <w:p>
      <w:pPr>
        <w:spacing w:after="60"/>
        <w:ind w:left="510" w:hanging="340"/>
      </w:pPr>
      <w:r>
        <w:rPr>
          <w:b/>
        </w:rPr>
        <w:t xml:space="preserve">19. </w:t>
      </w:r>
      <w:r>
        <w:rPr/>
        <w:t>Hongos: Candida y mohos</w:t>
      </w:r>
    </w:p>
    <w:p>
      <w:pPr>
        <w:spacing w:after="60"/>
        <w:ind w:left="510" w:hanging="340"/>
      </w:pPr>
      <w:r>
        <w:rPr>
          <w:b/>
        </w:rPr>
        <w:t xml:space="preserve">20. </w:t>
      </w:r>
      <w:r>
        <w:rPr/>
        <w:t>Complicaciones del tratamiento y de la infección</w:t>
      </w:r>
    </w:p>
    <w:p>
      <w:pPr>
        <w:spacing w:after="60"/>
        <w:ind w:left="510" w:hanging="340"/>
      </w:pPr>
      <w:r>
        <w:rPr>
          <w:b/>
        </w:rPr>
        <w:t xml:space="preserve">21. </w:t>
      </w:r>
      <w:r>
        <w:rPr/>
        <w:t>Pronóstico: qué esperar según el germen y la estrategia</w:t>
      </w:r>
    </w:p>
    <w:p>
      <w:pPr>
        <w:spacing w:after="60"/>
        <w:ind w:left="510" w:hanging="340"/>
      </w:pPr>
      <w:r>
        <w:rPr>
          <w:b/>
        </w:rPr>
        <w:t xml:space="preserve">22. </w:t>
      </w:r>
      <w:r>
        <w:rPr/>
        <w:t>Fracaso del tratamiento y cuándo consultar a infectología</w:t>
      </w:r>
    </w:p>
    <w:p>
      <w:pPr>
        <w:spacing w:after="60"/>
        <w:ind w:left="510" w:hanging="340"/>
      </w:pPr>
      <w:r>
        <w:rPr>
          <w:b/>
        </w:rPr>
        <w:t xml:space="preserve">23. </w:t>
      </w:r>
      <w:r>
        <w:rPr/>
        <w:t>Perlas y trampas</w:t>
      </w:r>
    </w:p>
    <w:p>
      <w:pPr>
        <w:spacing w:after="60"/>
        <w:ind w:left="510" w:hanging="340"/>
      </w:pPr>
      <w:r>
        <w:rPr>
          <w:b/>
        </w:rPr>
        <w:t xml:space="preserve">24. </w:t>
      </w:r>
      <w:r>
        <w:rPr/>
        <w:t>Preguntas de autoevaluación</w:t>
      </w:r>
    </w:p>
    <w:p>
      <w:pPr>
        <w:spacing w:after="60"/>
        <w:ind w:left="510" w:hanging="340"/>
      </w:pPr>
      <w:r>
        <w:rPr>
          <w:b/>
        </w:rPr>
        <w:t xml:space="preserve">25. </w:t>
      </w:r>
      <w:r>
        <w:rPr/>
        <w:t>Lectura recomendada</w:t>
      </w:r>
    </w:p>
    <w:p>
      <w:pPr>
        <w:spacing w:after="60"/>
        <w:ind w:left="510" w:hanging="340"/>
      </w:pPr>
      <w:r>
        <w:rPr>
          <w:b/>
        </w:rPr>
        <w:t xml:space="preserve">26. </w:t>
      </w:r>
      <w:r>
        <w:rPr/>
        <w:t>Palabras clave</w:t>
      </w:r>
    </w:p>
    <w:p>
      <w:pPr>
        <w:spacing w:after="60"/>
        <w:ind w:left="510" w:hanging="340"/>
      </w:pPr>
      <w:r>
        <w:rPr>
          <w:b/>
        </w:rPr>
        <w:t xml:space="preserve">27. </w:t>
      </w:r>
      <w:r>
        <w:rPr/>
        <w:t>Para recordar</w:t>
      </w:r>
    </w:p>
    <w:p>
      <w:pPr>
        <w:spacing w:after="60"/>
        <w:ind w:left="510" w:hanging="340"/>
      </w:pPr>
      <w:r>
        <w:rPr>
          <w:b/>
        </w:rPr>
        <w:t xml:space="preserve">28. </w:t>
      </w:r>
      <w:r>
        <w:rPr/>
        <w:t>Caso de staff</w:t>
      </w:r>
    </w:p>
    <w:p>
      <w:pPr>
        <w:spacing w:after="60"/>
        <w:ind w:left="510" w:hanging="340"/>
      </w:pPr>
      <w:r>
        <w:rPr>
          <w:b/>
        </w:rPr>
        <w:t xml:space="preserve">29. </w:t>
      </w:r>
      <w:r>
        <w:rPr/>
        <w:t>Referencias completas</w:t>
      </w:r>
    </w:p>
    <w:p>
      <w:pPr>
        <w:pStyle w:val="Heading1"/>
      </w:pPr>
      <w:r>
        <w:t>En 30 segundos</w:t>
      </w:r>
    </w:p>
    <w:p>
      <w:pPr>
        <w:pStyle w:val="ListBullet"/>
      </w:pPr>
      <w:r>
        <w:rPr/>
        <w:t>En ortopedia el germen se predice por el escenario: hueso nativo, fractura con implante, prótesis, herida contaminada o mordedura. Conocer el escenario te adelanta al cultivo y te dice qué cubrir mientras llega.</w:t>
      </w:r>
    </w:p>
    <w:p>
      <w:pPr>
        <w:pStyle w:val="ListBullet"/>
      </w:pPr>
      <w:r>
        <w:rPr/>
        <w:t>S. aureus encabeza la lista: apareció en 37,7 % de 1003 pacientes con infección ósea o articular compleja y estudio microbiológico; los estafilococos coagulasa negativos (SCN) siguen con 27,1 % [r1].</w:t>
      </w:r>
    </w:p>
    <w:p>
      <w:pPr>
        <w:pStyle w:val="ListBullet"/>
      </w:pPr>
      <w:r>
        <w:rPr/>
        <w:t>El biofilm sobre el material puede volver al germen hasta 1000 veces más resistente que en forma libre [r2]. Por eso, con implante, manda la cirugía y un antibiótico que actúe sobre biofilm.</w:t>
      </w:r>
    </w:p>
    <w:p>
      <w:pPr>
        <w:pStyle w:val="ListBullet"/>
      </w:pPr>
      <w:r>
        <w:rPr/>
        <w:t>La rifampicina es el fármaco antibiofilm contra estafilococos, pero nunca va sola y solo se inicia con la herida controlada [r2][r3].</w:t>
      </w:r>
    </w:p>
    <w:p>
      <w:pPr>
        <w:pStyle w:val="ListBullet"/>
      </w:pPr>
      <w:r>
        <w:rPr/>
        <w:t>Pide 5 o más muestras profundas, con instrumento limpio para cada una, sin hisopos y sin piel [r4]; los gérmenes lentos como C. acnes necesitan 10 a 14 días de incubación [r5].</w:t>
      </w:r>
    </w:p>
    <w:p>
      <w:pPr>
        <w:pStyle w:val="ListBullet"/>
      </w:pPr>
      <w:r>
        <w:rPr/>
        <w:t>Pseudomonas y otros Gram negativos: betalactámico antipseudomonas al inicio; la fluoroquinolona entra después de desbridar [r2].</w:t>
      </w:r>
    </w:p>
    <w:p>
      <w:pPr>
        <w:pStyle w:val="ListBullet"/>
      </w:pPr>
      <w:r>
        <w:rPr/>
        <w:t>Mordedura: Pasteurella en 50 % de las infectadas por perro y 75 % por gato [r6]; la humana trae Eikenella [r7]; en la mano, el antibiótico preventivo reduce la infección (NNT 4) [r8].</w:t>
      </w:r>
    </w:p>
    <w:p>
      <w:pPr>
        <w:pStyle w:val="ListBullet"/>
      </w:pPr>
      <w:r>
        <w:rPr/>
        <w:t>Kingella kingae: niño de 6 a 36 meses, poca fiebre y cultivo negativo; la PCR molecular propia de un hospital detectó 4 veces más casos que el cultivo [r9][r10].</w:t>
      </w:r>
    </w:p>
    <w:p>
      <w:pPr>
        <w:pStyle w:val="ListBullet"/>
      </w:pPr>
      <w:r>
        <w:rPr/>
        <w:t>Hongos: raros y tercos; con implante se retira todo el material extraño y el antifúngico dura meses [r2][r11].</w:t>
      </w:r>
    </w:p>
    <w:p>
      <w:pPr>
        <w:pStyle w:val="Heading1"/>
      </w:pPr>
      <w:r>
        <w:t>Pilares</w:t>
      </w:r>
    </w:p>
    <w:p>
      <w:r>
        <w:rPr>
          <w:i/>
        </w:rPr>
        <w:t>Ideas que no se negocian.</w:t>
      </w:r>
    </w:p>
    <w:p>
      <w:pPr>
        <w:spacing w:after="60"/>
        <w:ind w:left="510" w:hanging="340"/>
      </w:pPr>
      <w:r>
        <w:rPr>
          <w:b/>
        </w:rPr>
        <w:t xml:space="preserve">1. </w:t>
      </w:r>
      <w:r>
        <w:rPr/>
        <w:t>El escenario y el implante mandan: sin implante se cura desbridando y con antibiótico; con implante hace falta un fármaco activo contra biofilm, o retirar y recambiar [r2].</w:t>
      </w:r>
    </w:p>
    <w:p>
      <w:pPr>
        <w:spacing w:after="60"/>
        <w:ind w:left="510" w:hanging="340"/>
      </w:pPr>
      <w:r>
        <w:rPr>
          <w:b/>
        </w:rPr>
        <w:t xml:space="preserve">2. </w:t>
      </w:r>
      <w:r>
        <w:rPr/>
        <w:t>La muestra es el examen más importante de la cirugía: 5 o más muestras profundas, un instrumento limpio por muestra, nada de hisopos ni piel [r4].</w:t>
      </w:r>
    </w:p>
    <w:p>
      <w:pPr>
        <w:spacing w:after="60"/>
        <w:ind w:left="510" w:hanging="340"/>
      </w:pPr>
      <w:r>
        <w:rPr>
          <w:b/>
        </w:rPr>
        <w:t xml:space="preserve">3. </w:t>
      </w:r>
      <w:r>
        <w:rPr/>
        <w:t>Un solo cultivo de un comensal (SCN o C. acnes) no confirma infección; 2 muestras con el mismo germen y el mismo antibiograma sí [r12][r13].</w:t>
      </w:r>
    </w:p>
    <w:p>
      <w:pPr>
        <w:spacing w:after="60"/>
        <w:ind w:left="510" w:hanging="340"/>
      </w:pPr>
      <w:r>
        <w:rPr>
          <w:b/>
        </w:rPr>
        <w:t xml:space="preserve">4. </w:t>
      </w:r>
      <w:r>
        <w:rPr/>
        <w:t>Los antibióticos antibiofilm tienen reglas: la rifampicina siempre acompañada y tras controlar la herida; la fluoroquinolona contra Gram negativos solo después de desbridar [r2][r3].</w:t>
      </w:r>
    </w:p>
    <w:p>
      <w:pPr>
        <w:spacing w:after="60"/>
        <w:ind w:left="510" w:hanging="340"/>
      </w:pPr>
      <w:r>
        <w:rPr>
          <w:b/>
        </w:rPr>
        <w:t xml:space="preserve">5. </w:t>
      </w:r>
      <w:r>
        <w:rPr/>
        <w:t>El antibiograma de tu hospital manda el esquema empírico: no localizamos datos publicados específicos de infección osteoarticular en Ecuador, así que pídelo [r14][r15].</w:t>
      </w:r>
    </w:p>
    <w:p>
      <w:pPr>
        <w:pStyle w:val="Heading1"/>
      </w:pPr>
      <w:r>
        <w:t>No olvidar</w:t>
      </w:r>
    </w:p>
    <w:p>
      <w:pPr>
        <w:pStyle w:val="ListBullet"/>
      </w:pPr>
      <w:r>
        <w:rPr/>
        <w:t>Hemocultivos si hay fiebre de 38,3 °C o más [r4].</w:t>
      </w:r>
    </w:p>
    <w:p>
      <w:pPr>
        <w:pStyle w:val="ListBullet"/>
      </w:pPr>
      <w:r>
        <w:rPr/>
        <w:t>No inicies antibiótico antes del desbridamiento si el paciente no está séptico: primero las muestras [r2].</w:t>
      </w:r>
    </w:p>
    <w:p>
      <w:pPr>
        <w:pStyle w:val="ListBullet"/>
      </w:pPr>
      <w:r>
        <w:rPr/>
        <w:t>El antibiótico previo baja el rendimiento: la biopsia tomada con antibiótico en curso rinde cerca de 50 % menos que la tomada antes de iniciarlo [r16].</w:t>
      </w:r>
    </w:p>
    <w:p>
      <w:pPr>
        <w:pStyle w:val="ListBullet"/>
      </w:pPr>
      <w:r>
        <w:rPr/>
        <w:t>Avisa al laboratorio que es un implante o un posible C. acnes: los cultivos lentos se mantienen 10 a 14 días [r5].</w:t>
      </w:r>
    </w:p>
    <w:p>
      <w:pPr>
        <w:pStyle w:val="ListBullet"/>
      </w:pPr>
      <w:r>
        <w:rPr/>
        <w:t>Pasar a vía oral es una opción segura en infección ósea compleja: OVIVA mostró que no fue inferior a la vía intravenosa [r1].</w:t>
      </w:r>
    </w:p>
    <w:p>
      <w:pPr>
        <w:pStyle w:val="ListBullet"/>
      </w:pPr>
      <w:r>
        <w:rPr/>
        <w:t>La profilaxis con cefazolina no cubre MRSA, anaerobios ni muchos Gram negativos [r17].</w:t>
      </w:r>
    </w:p>
    <w:p>
      <w:pPr>
        <w:pStyle w:val="Heading1"/>
      </w:pPr>
      <w:r>
        <w:t>Definición y alcance</w:t>
      </w:r>
    </w:p>
    <w:p>
      <w:r>
        <w:rPr>
          <w:b/>
        </w:rPr>
        <w:t>De qué trata este capítulo.</w:t>
      </w:r>
      <w:r>
        <w:rPr/>
        <w:t xml:space="preserve"> Reúne los gérmenes que más veces explican una infección en ortopedia y trauma: </w:t>
      </w:r>
      <w:r>
        <w:rPr>
          <w:i/>
        </w:rPr>
        <w:t>Staphylococcus aureus</w:t>
      </w:r>
      <w:r>
        <w:rPr/>
        <w:t xml:space="preserve"> (sensible y resistente a meticilina), los estafilococos coagulasa negativos (SCN), </w:t>
      </w:r>
      <w:r>
        <w:rPr>
          <w:i/>
        </w:rPr>
        <w:t>Pseudomonas aeruginosa</w:t>
      </w:r>
      <w:r>
        <w:rPr/>
        <w:t xml:space="preserve"> y otros Gram negativos, los anaerobios (sobre todo </w:t>
      </w:r>
      <w:r>
        <w:rPr>
          <w:i/>
        </w:rPr>
        <w:t>Cutibacterium acnes</w:t>
      </w:r>
      <w:r>
        <w:rPr/>
        <w:t xml:space="preserve">), los gérmenes de las mordeduras, </w:t>
      </w:r>
      <w:r>
        <w:rPr>
          <w:i/>
        </w:rPr>
        <w:t>Kingella kingae</w:t>
      </w:r>
      <w:r>
        <w:rPr/>
        <w:t xml:space="preserve"> en el niño pequeño y los hongos. De cada uno verás dónde aparece, por qué persiste, cómo se confirma y qué antibiótico y qué cirugía lo acompañan.</w:t>
      </w:r>
    </w:p>
    <w:p>
      <w:r>
        <w:rPr>
          <w:b/>
        </w:rPr>
        <w:t>Qué no es.</w:t>
      </w:r>
      <w:r>
        <w:rPr/>
        <w:t xml:space="preserve"> No sustituye a los temas por entidad (osteomielitis, artritis séptica, infección periprotésica, infección relacionada con fractura): los usa. La idea es que sepas leer un cultivo y decidir con él.</w:t>
      </w:r>
    </w:p>
    <w:p>
      <w:r>
        <w:rPr>
          <w:b/>
        </w:rPr>
        <w:t>3 palabras que se confunden.</w:t>
      </w:r>
      <w:r>
        <w:rPr/>
        <w:t xml:space="preserve"> </w:t>
      </w:r>
      <w:r>
        <w:rPr>
          <w:i/>
        </w:rPr>
        <w:t>Resistencia</w:t>
      </w:r>
      <w:r>
        <w:rPr/>
        <w:t xml:space="preserve">: el antibiótico no logra frenar la multiplicación del germen. </w:t>
      </w:r>
      <w:r>
        <w:rPr>
          <w:i/>
        </w:rPr>
        <w:t>Tolerancia</w:t>
      </w:r>
      <w:r>
        <w:rPr/>
        <w:t xml:space="preserve">: el fármaco sí lo mata, pero con lentitud, y los sobrevivientes rebrotan en cuanto se suspende; en S. aureus los 2 refugios mejor documentados de esa tolerancia son el biofilm y el interior de las células [r26]. </w:t>
      </w:r>
      <w:r>
        <w:rPr>
          <w:i/>
        </w:rPr>
        <w:t>Persistencia</w:t>
      </w:r>
      <w:r>
        <w:rPr/>
        <w:t xml:space="preserve"> es el resultado clínico: la infección que no se va. El antibiograma mide resistencia, no tolerancia: un germen "sensible" puede persistir (opinión experta).</w:t>
      </w:r>
    </w:p>
    <w:p>
      <w:r>
        <w:rPr>
          <w:b/>
        </w:rPr>
        <w:t>Los escenarios que ordenan el capítulo.</w:t>
      </w:r>
      <w:r>
        <w:rPr/>
        <w:t xml:space="preserve"> Hueso nativo, fractura con implante (infección relacionada con fractura, FRI), prótesis, y herida contaminada o mordedura. Para el hueso nativo, la clasificación de Waldvogel distingue la osteomielitis hematógena, la de foco contiguo (herida, cirugía, trauma) y la que acompaña a la insuficiencia vascular [r16].</w:t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[r16] </w:t>
      </w:r>
      <w:r>
        <w:rPr>
          <w:sz w:val="18"/>
        </w:rPr>
        <w:t xml:space="preserve">Tong SY, Davis JS, Eichenberger E, Holland TL, Fowler VG Jr. Staphylococcus aureus infections: epidemiology, pathophysiology, clinical manifestations, and management. Clin Microbiol Rev. 2015;28(3):603-61. </w:t>
      </w:r>
      <w:r>
        <w:rPr>
          <w:i/>
          <w:color w:val="5A6469"/>
          <w:sz w:val="17"/>
        </w:rPr>
        <w:t xml:space="preserve">(revision · acceso abierto) </w:t>
      </w:r>
      <w:hyperlink r:id="rId11">
        <w:r>
          <w:rPr>
            <w:color w:val="0563C1"/>
            <w:u w:val="single"/>
            <w:sz w:val="18"/>
          </w:rPr>
          <w:t xml:space="preserve">https://doi.org/10.1128/CMR.00134-14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[r26] </w:t>
      </w:r>
      <w:r>
        <w:rPr>
          <w:sz w:val="18"/>
        </w:rPr>
        <w:t xml:space="preserve">Parsons JB, Mourad A, Conlon BP, Kielian T, Fowler VG Jr. Methicillin-resistant and susceptible Staphylococcus aureus: tolerance, immune evasion and treatment. Nat Rev Microbiol. 2026;24(2):127-145. </w:t>
      </w:r>
      <w:r>
        <w:rPr>
          <w:i/>
          <w:color w:val="5A6469"/>
          <w:sz w:val="17"/>
        </w:rPr>
        <w:t xml:space="preserve">(revision · acceso abierto) </w:t>
      </w:r>
      <w:hyperlink r:id="rId12">
        <w:r>
          <w:rPr>
            <w:color w:val="0563C1"/>
            <w:u w:val="single"/>
            <w:sz w:val="18"/>
          </w:rPr>
          <w:t xml:space="preserve">https://doi.org/10.1038/s41579-025-01226-2</w:t>
        </w:r>
      </w:hyperlink>
    </w:p>
    <w:p>
      <w:pPr>
        <w:pStyle w:val="Heading1"/>
      </w:pPr>
      <w:r>
        <w:t>Epidemiología: quién causa qué</w:t>
      </w:r>
    </w:p>
    <w:p>
      <w:r>
        <w:rPr>
          <w:b/>
        </w:rPr>
        <w:t>En infección ósea y articular compleja.</w:t>
      </w:r>
      <w:r>
        <w:rPr/>
        <w:t xml:space="preserve"> En OVIVA, un ensayo con 1054 adultos, 60,6 % tenía infección con material de osteosíntesis o prótesis [r1]. Entre 1003 pacientes con datos microbiológicos, S. aureus apareció en 37,7 %, los SCN en 27,1 %, los estreptococos en 14,5 %, Pseudomonas en 5,1 % y otros Gram negativos en 16,7 %; 15,5 % tuvo cultivo negativo [r1]. Los porcentajes suman más de 100 % porque 153 participantes tuvieron 2 gérmenes y 28 tuvieron 3 o más [r1].</w:t>
      </w:r>
    </w:p>
    <w:p>
      <w:r>
        <w:rPr>
          <w:b/>
        </w:rPr>
        <w:t>En prótesis.</w:t>
      </w:r>
      <w:r>
        <w:rPr/>
        <w:t xml:space="preserve"> Los SCN (sobre todo </w:t>
      </w:r>
      <w:r>
        <w:rPr>
          <w:i/>
        </w:rPr>
        <w:t>S. epidermidis</w:t>
      </w:r>
      <w:r>
        <w:rPr/>
        <w:t>) causan 30 a 50 % de las infecciones periprotésicas, S. aureus 10 a 45 % y la flora mixta cerca de 10 % [r18]. Otra revisión, centrada en rifampicina, atribuye a S. aureus 33 a 49 % de las infecciones de prótesis y más de 50 % de las osteomielitis [r21]. Los rangos son amplios porque cambian el hospital, la edad de la prótesis y la definición de infección.</w:t>
      </w:r>
    </w:p>
    <w:p>
      <w:r>
        <w:rPr>
          <w:b/>
        </w:rPr>
        <w:t>En fracturas.</w:t>
      </w:r>
      <w:r>
        <w:rPr/>
        <w:t xml:space="preserve"> La FRI aparece en 1 a 30 % de las fracturas abiertas y en 1 a 5 % de las cerradas [r27]. En un centro de EE. UU. con 44 FRI del miembro inferior, el MSSA fue el germen más frecuente, luego Enterobacterales, MRSA y </w:t>
      </w:r>
      <w:r>
        <w:rPr>
          <w:i/>
        </w:rPr>
        <w:t>P. aeruginosa</w:t>
      </w:r>
      <w:r>
        <w:rPr/>
        <w:t>, y 29,5 % fue polimicrobiana [r17]. El consenso internacional estima que hasta 1 de cada 3 FRI son polimicrobianas [r2].</w:t>
      </w:r>
    </w:p>
    <w:p>
      <w:r>
        <w:rPr>
          <w:b/>
        </w:rPr>
        <w:t>En el niño pequeño.</w:t>
      </w:r>
      <w:r>
        <w:rPr/>
        <w:t xml:space="preserve"> Kingella kingae es el principal agente de osteomielitis y artritis séptica entre los 6 y los 36 meses [r9]. En 907 casos de 3 a 60 meses de Australia y Nueva Zelanda, el pico fue a los 12 a 24 meses, Kingella fue el germen más detectado en esa edad y 57 % quedó sin germen [r28].</w:t>
      </w:r>
    </w:p>
    <w:p>
      <w:r>
        <w:rPr>
          <w:b/>
        </w:rPr>
        <w:t>En mordeduras.</w:t>
      </w:r>
      <w:r>
        <w:rPr/>
        <w:t xml:space="preserve"> Las mordeduras humanas llegan a 20 % de todas las mordeduras en algunas ciudades, y el riesgo global de infección tras una mordedura es 10 a 20 % [r7]. Por especie, la infección es más probable con gato (30 a 50 %) que con humano (15 a 25 %) o perro (5 a 25 %) [r7].</w:t>
      </w:r>
    </w:p>
    <w:p>
      <w:r>
        <w:rPr>
          <w:b/>
        </w:rPr>
        <w:t>En hongos.</w:t>
      </w:r>
      <w:r>
        <w:rPr/>
        <w:t xml:space="preserve"> Son raros: una revisión sistemática de infección de fractura por Candida solo halló 5 reportes de caso entre 1514 registros [r29]. En 268 infecciones protésicas por Candida predominó </w:t>
      </w:r>
      <w:r>
        <w:rPr>
          <w:i/>
        </w:rPr>
        <w:t>C. albicans</w:t>
      </w:r>
      <w:r>
        <w:rPr/>
        <w:t xml:space="preserve"> (55,6 %), seguida de </w:t>
      </w:r>
      <w:r>
        <w:rPr>
          <w:i/>
        </w:rPr>
        <w:t>C. parapsilosis</w:t>
      </w:r>
      <w:r>
        <w:rPr/>
        <w:t xml:space="preserve"> (29,5 %) [r30].</w:t>
      </w:r>
    </w:p>
    <w:p>
      <w:r>
        <w:rPr>
          <w:b/>
        </w:rPr>
        <w:t>Y en Ecuador.</w:t>
      </w:r>
      <w:r>
        <w:rPr/>
        <w:t xml:space="preserve"> No localizamos series publicadas de gérmenes de infección osteoarticular en Ecuador. La revisión sistemática de resistencia en Ecuador reunió 80 estudios, la mayoría hospitalarios y urbanos, y destaca la resistencia a betalactámicos y fluoroquinolonas [r14]. Una revisión de pie diabético en Latinoamérica estimó que 37,8 % de los S. aureus aislados eran MRSA y dejó a Ecuador entre 18 países sin estudios elegibles [r15]. Traducción práctica: tu antibiograma institucional vale más que cualquier cifra extranjera.</w:t>
      </w:r>
    </w:p>
    <w:p>
      <w:pPr>
        <w:keepNext/>
      </w:pPr>
      <w:r>
        <w:rPr>
          <w:b/>
          <w:color w:val="0F5F6B"/>
          <w:sz w:val="20"/>
        </w:rPr>
        <w:t>Tabla 1. Frecuencia de gérmenes según el escenario (cifras de las series citadas)</w:t>
      </w:r>
      <w:r>
        <w:rPr>
          <w:color w:val="5A6469"/>
          <w:sz w:val="18"/>
        </w:rPr>
        <w:t xml:space="preserve">  [r1] [r2] [r12] [r18] [r30] [r31]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Escenario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Germen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Frecuencia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Comentario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Infección ósea o articular compleja (OVIVA, n = 1003)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S. aureus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37,7 %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El más frecuente [r1]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Infección ósea o articular compleja (OVIVA)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SCN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27,1 %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Un SCN aislado puede ser contaminante [r1][r12]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Infección ósea o articular compleja (OVIVA)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Estreptococos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14,5 %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La rifampicina no actúa sobre su biofilm [r1][r2]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Infección ósea o articular compleja (OVIVA)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Pseudomonas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5,1 %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Pide antibiograma completo [r1]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Infección ósea o articular compleja (OVIVA)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Otros Gram negativos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16,7 %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Incluye Enterobacterales [r1]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Infección ósea o articular compleja (OVIVA)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Cultivo negativo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15,5 %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Revisar número y calidad de muestras [r1]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Infección protésica (revisión)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SCN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30-50 %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Sobre todo S. epidermidis [r18]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Infección protésica (revisión)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S. aureus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10-45 %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Amplio rango entre series [r18]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Infección protésica de cadera y rodilla (n = 281)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Gram negativos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18 %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Enterobacterales en 36 de 51 [r31]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Infección protésica por Candida (n = 268)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C. albicans / C. parapsilosis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55,6 % / 29,5 %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Los hongos son raros pero fallan mucho [r30]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Figura 1. Gérmenes identificados en 1003 pacientes con infección ósea o articular compleja (OVIVA)</w:t>
      </w:r>
      <w:r>
        <w:rPr>
          <w:color w:val="5A6469"/>
          <w:sz w:val="18"/>
        </w:rPr>
        <w:t xml:space="preserve">  [r1]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[r7] </w:t>
      </w:r>
      <w:r>
        <w:rPr>
          <w:sz w:val="18"/>
        </w:rPr>
        <w:t xml:space="preserve">Rothe K, Tsokos M, Handrick W. Animal and Human Bite Wounds. Dtsch Arztebl Int. 2015;112(25):433-42; quiz 443. </w:t>
      </w:r>
      <w:r>
        <w:rPr>
          <w:i/>
          <w:color w:val="5A6469"/>
          <w:sz w:val="17"/>
        </w:rPr>
        <w:t xml:space="preserve">(revision · acceso abierto) </w:t>
      </w:r>
      <w:hyperlink r:id="rId16">
        <w:r>
          <w:rPr>
            <w:color w:val="0563C1"/>
            <w:u w:val="single"/>
            <w:sz w:val="18"/>
          </w:rPr>
          <w:t xml:space="preserve">https://doi.org/10.3238/arztebl.2015.0433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[r9] </w:t>
      </w:r>
      <w:r>
        <w:rPr>
          <w:sz w:val="18"/>
        </w:rPr>
        <w:t xml:space="preserve">Yagupsky P. Kingella kingae: carriage, transmission, and disease. Clin Microbiol Rev. 2015;28(1):54-79. </w:t>
      </w:r>
      <w:r>
        <w:rPr>
          <w:i/>
          <w:color w:val="5A6469"/>
          <w:sz w:val="17"/>
        </w:rPr>
        <w:t xml:space="preserve">(revision · acceso resumen) </w:t>
      </w:r>
      <w:hyperlink r:id="rId17">
        <w:r>
          <w:rPr>
            <w:color w:val="0563C1"/>
            <w:u w:val="single"/>
            <w:sz w:val="18"/>
          </w:rPr>
          <w:t xml:space="preserve">https://doi.org/10.1128/CMR.00028-14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[r14] </w:t>
      </w:r>
      <w:r>
        <w:rPr>
          <w:sz w:val="18"/>
        </w:rPr>
        <w:t xml:space="preserve">Bastidas-Caldes C, Hernández-Alomía F, Bolaños F, Cisneros-Vásquez E, Romero-Alvarez D. Antimicrobial resistance in Ecuador, 2000-2024: a systematic review within a One Health framework. Crit Rev Microbiol. 2026 Aug 10:1-20. Epub ahead of print. </w:t>
      </w:r>
      <w:r>
        <w:rPr>
          <w:i/>
          <w:color w:val="5A6469"/>
          <w:sz w:val="17"/>
        </w:rPr>
        <w:t xml:space="preserve">(RS-MA · acceso resumen) </w:t>
      </w:r>
      <w:hyperlink r:id="rId19">
        <w:r>
          <w:rPr>
            <w:color w:val="0563C1"/>
            <w:u w:val="single"/>
            <w:sz w:val="18"/>
          </w:rPr>
          <w:t xml:space="preserve">https://doi.org/10.1080/1040841X.2026.2709521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[r15] </w:t>
      </w:r>
      <w:r>
        <w:rPr>
          <w:sz w:val="18"/>
        </w:rPr>
        <w:t xml:space="preserve">Husaini DC, Chiroma JH, Sani GM, Ihebie CE, Nwachukwu I, Nwokocha C, et al. Antimicrobial Resistance in Diabetic Foot Infections in Latin America and the Caribbean: A Systematic Review and Meta-Analysis (1980-2025). Int J Microbiol. 2026;2026:5244269. </w:t>
      </w:r>
      <w:r>
        <w:rPr>
          <w:i/>
          <w:color w:val="5A6469"/>
          <w:sz w:val="17"/>
        </w:rPr>
        <w:t xml:space="preserve">(RS-MA · acceso abierto) </w:t>
      </w:r>
      <w:hyperlink r:id="rId20">
        <w:r>
          <w:rPr>
            <w:color w:val="0563C1"/>
            <w:u w:val="single"/>
            <w:sz w:val="18"/>
          </w:rPr>
          <w:t xml:space="preserve">https://doi.org/10.1155/ijm/5244269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[r17] </w:t>
      </w:r>
      <w:r>
        <w:rPr>
          <w:sz w:val="18"/>
        </w:rPr>
        <w:t xml:space="preserve">Daddi L, Golden M, Frumberg D, Spichler-Moffarah A. Is cefazolin an appropriate choice for preoperative prophylaxis in patients undergoing surgery for fracture-related infection. Antimicrob Steward Healthc Epidemiol. 2026;6(1):e216. </w:t>
      </w:r>
      <w:r>
        <w:rPr>
          <w:i/>
          <w:color w:val="5A6469"/>
          <w:sz w:val="17"/>
        </w:rPr>
        <w:t xml:space="preserve">(cohorte · acceso abierto) </w:t>
      </w:r>
      <w:hyperlink r:id="rId21">
        <w:r>
          <w:rPr>
            <w:color w:val="0563C1"/>
            <w:u w:val="single"/>
            <w:sz w:val="18"/>
          </w:rPr>
          <w:t xml:space="preserve">https://doi.org/10.1017/ash.2026.10755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[r18] </w:t>
      </w:r>
      <w:r>
        <w:rPr>
          <w:sz w:val="18"/>
        </w:rPr>
        <w:t xml:space="preserve">Becker K, Heilmann C, Peters G. Coagulase-negative staphylococci. Clin Microbiol Rev. 2014;27(4):870-926. </w:t>
      </w:r>
      <w:r>
        <w:rPr>
          <w:i/>
          <w:color w:val="5A6469"/>
          <w:sz w:val="17"/>
        </w:rPr>
        <w:t xml:space="preserve">(revision · acceso abierto) </w:t>
      </w:r>
      <w:hyperlink r:id="rId22">
        <w:r>
          <w:rPr>
            <w:color w:val="0563C1"/>
            <w:u w:val="single"/>
            <w:sz w:val="18"/>
          </w:rPr>
          <w:t xml:space="preserve">https://doi.org/10.1128/CMR.00109-13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[r27] </w:t>
      </w:r>
      <w:r>
        <w:rPr>
          <w:sz w:val="18"/>
        </w:rPr>
        <w:t xml:space="preserve">Wu H, Yu S, Sun D, Wang S, Wang X, Fu J, et al. Clinical characteristics and risk factors of recurrence for Pseudomonas aeruginosa-associated fracture-related infection following surgical treatment : a 12-year retrospective cohort study. Bone Jt Open. 2026;7(9):1194-1203. </w:t>
      </w:r>
      <w:r>
        <w:rPr>
          <w:i/>
          <w:color w:val="5A6469"/>
          <w:sz w:val="17"/>
        </w:rPr>
        <w:t xml:space="preserve">(cohorte · acceso abierto) </w:t>
      </w:r>
      <w:hyperlink r:id="rId24">
        <w:r>
          <w:rPr>
            <w:color w:val="0563C1"/>
            <w:u w:val="single"/>
            <w:sz w:val="18"/>
          </w:rPr>
          <w:t xml:space="preserve">https://doi.org/10.1302/2633-1462.79.BJO-2026-0015.R1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[r28] </w:t>
      </w:r>
      <w:r>
        <w:rPr>
          <w:sz w:val="18"/>
        </w:rPr>
        <w:t xml:space="preserve">Olijve L, Amarasena L, Best E, Blyth C, van den Boom M, Bowen A, et al. The role of Kingella kingae in pre-school aged children with bone and joint infections. J Infect. 2021;83(3):321-331. </w:t>
      </w:r>
      <w:r>
        <w:rPr>
          <w:i/>
          <w:color w:val="5A6469"/>
          <w:sz w:val="17"/>
        </w:rPr>
        <w:t xml:space="preserve">(cohorte · acceso resumen) </w:t>
      </w:r>
      <w:hyperlink r:id="rId25">
        <w:r>
          <w:rPr>
            <w:color w:val="0563C1"/>
            <w:u w:val="single"/>
            <w:sz w:val="18"/>
          </w:rPr>
          <w:t xml:space="preserve">https://doi.org/10.1016/j.jinf.2021.06.028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[r29] </w:t>
      </w:r>
      <w:r>
        <w:rPr>
          <w:sz w:val="18"/>
        </w:rPr>
        <w:t xml:space="preserve">De Meo D, Cera G, Ceccarelli G, Castagna V, Aronica R, Pieracci EM, et al. Candida fracture-related infection: a systematic review. J Bone Jt Infect. 2021;6(7):321-328. </w:t>
      </w:r>
      <w:r>
        <w:rPr>
          <w:i/>
          <w:color w:val="5A6469"/>
          <w:sz w:val="17"/>
        </w:rPr>
        <w:t xml:space="preserve">(RS-MA · acceso abierto) </w:t>
      </w:r>
      <w:hyperlink r:id="rId26">
        <w:r>
          <w:rPr>
            <w:color w:val="0563C1"/>
            <w:u w:val="single"/>
            <w:sz w:val="18"/>
          </w:rPr>
          <w:t xml:space="preserve">https://doi.org/10.5194/jbji-6-321-2021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[r30] </w:t>
      </w:r>
      <w:r>
        <w:rPr>
          <w:sz w:val="18"/>
        </w:rPr>
        <w:t xml:space="preserve">Mamona-Kilu C, Lora-Tamayo J, McNally M, Duran C, Ho R, Scarborough M, et al. Geographical Differences in the Epidemiology and Treatment of Candida Prosthetic Joint Infections. Open Forum Infect Dis. 2026;13(4):ofag208. </w:t>
      </w:r>
      <w:r>
        <w:rPr>
          <w:i/>
          <w:color w:val="5A6469"/>
          <w:sz w:val="17"/>
        </w:rPr>
        <w:t xml:space="preserve">(cohorte · acceso abierto) </w:t>
      </w:r>
      <w:hyperlink r:id="rId27">
        <w:r>
          <w:rPr>
            <w:color w:val="0563C1"/>
            <w:u w:val="single"/>
            <w:sz w:val="18"/>
          </w:rPr>
          <w:t xml:space="preserve">https://doi.org/10.1093/ofid/ofag208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[r31] </w:t>
      </w:r>
      <w:r>
        <w:rPr>
          <w:sz w:val="18"/>
        </w:rPr>
        <w:t xml:space="preserve">Tedeschi S, Fernandez-Sampedro M, Zamparini E, Rossi N, Ferraro G, Pecorelli A, et al. Gram-negative aetiology in hip and knee prosthetic joint infections: risk factors and implications for empirical antibiotic therapy-a retrospective cohort study. JAC Antimicrob Resist. 2026;8(5):dlag206. </w:t>
      </w:r>
      <w:r>
        <w:rPr>
          <w:i/>
          <w:color w:val="5A6469"/>
          <w:sz w:val="17"/>
        </w:rPr>
        <w:t xml:space="preserve">(cohorte · acceso abierto) </w:t>
      </w:r>
      <w:hyperlink r:id="rId28">
        <w:r>
          <w:rPr>
            <w:color w:val="0563C1"/>
            <w:u w:val="single"/>
            <w:sz w:val="18"/>
          </w:rPr>
          <w:t xml:space="preserve">https://doi.org/10.1093/jacamr/dlag206</w:t>
        </w:r>
      </w:hyperlink>
    </w:p>
    <w:p>
      <w:pPr>
        <w:pStyle w:val="Heading1"/>
      </w:pPr>
      <w:r>
        <w:t>Mecanismo: cómo entra el germen y por qué se queda</w:t>
      </w:r>
    </w:p>
    <w:p>
      <w:r>
        <w:rPr>
          <w:b/>
        </w:rPr>
        <w:t>Cómo llega.</w:t>
      </w:r>
      <w:r>
        <w:rPr/>
        <w:t xml:space="preserve"> Por la sangre (hematógena), por contigüidad (herida, cirugía o fractura expuesta) o asociado a insuficiencia vascular, según Waldvogel [r16]. En una fractura expuesta o en una cirugía el germen entra directo; por eso el control temprano de la herida pesa tanto como el antibiótico (opinión experta).</w:t>
      </w:r>
    </w:p>
    <w:p>
      <w:r>
        <w:rPr>
          <w:b/>
        </w:rPr>
        <w:t>Por qué persiste S. aureus.</w:t>
      </w:r>
      <w:r>
        <w:rPr/>
        <w:t xml:space="preserve"> S. aureus combina 4 recursos [r16]: proteínas de superficie (adhesinas) que lo anclan a la matriz ósea; biofilm sobre cualquier material extraño; entrada al osteoblasto; y, ya dentro de la célula, variantes de colonia pequeña (SCV) que apagan casi todo su metabolismo y esperan. Los aislados de osteomielitis crónica forman más SCV que los de osteomielitis aguda [r16], y las SCV importan en la osteomielitis y en la infección protésica que recae [r16].</w:t>
      </w:r>
    </w:p>
    <w:p>
      <w:r>
        <w:rPr>
          <w:b/>
        </w:rPr>
        <w:t>Biofilm: por qué manda la cirugía.</w:t>
      </w:r>
      <w:r>
        <w:rPr/>
        <w:t xml:space="preserve"> Las bacterias en biofilm pueden ser hasta 1000 veces más resistentes que las libres [r2]; en Pseudomonas el biofilm reduce la penetración del antibiótico entre 10 y 1000 veces [r27]. Y el biofilm viejo cuesta más: si el primer desbridamiento llega más de 4 semanas después del inicio de los síntomas y el implante se queda, el antibiótico quizá solo suprima y no erradique [r2].</w:t>
      </w:r>
    </w:p>
    <w:p>
      <w:r>
        <w:rPr>
          <w:b/>
        </w:rPr>
        <w:t>Tolerancia frente a resistencia.</w:t>
      </w:r>
      <w:r>
        <w:rPr/>
        <w:t xml:space="preserve"> Un germen tolerante muere más lento y rebrota al retirar el fármaco; los reservorios mejor documentados en S. aureus son el biofilm y el interior de las células [r26]. Por eso, con biofilm, se piden cirugía, combinación y tiempo aunque el antibiograma diga "sensible" (opinión experta).</w:t>
      </w:r>
    </w:p>
    <w:p>
      <w:r>
        <w:rPr>
          <w:b/>
        </w:rPr>
        <w:t>Resistencia a meticilina.</w:t>
      </w:r>
      <w:r>
        <w:rPr/>
        <w:t xml:space="preserve"> El gen mecA codifica una proteína (PBP2a) con baja afinidad por los betalactámicos, y así el MRSA resiste las penicilinas antiestafilocócicas y las cefalosporinas de 1.ª a 4.ª generación; las de 5.ª (ceftarolina, ceftobiprol) sí actúan [r26]. Las cepas con CIM de vancomicina de 4 a 8 µg/ml se llaman VISA y responden peor [r26].</w:t>
      </w:r>
    </w:p>
    <w:p>
      <w:r>
        <w:rPr>
          <w:b/>
        </w:rPr>
        <w:t>SCN: biofilm sin invasión.</w:t>
      </w:r>
      <w:r>
        <w:rPr/>
        <w:t xml:space="preserve"> </w:t>
      </w:r>
      <w:r>
        <w:rPr>
          <w:i/>
        </w:rPr>
        <w:t>S. epidermidis</w:t>
      </w:r>
      <w:r>
        <w:rPr/>
        <w:t xml:space="preserve"> de infecciones ortopédicas invade poco las células óseas, a diferencia de S. aureus; su ventaja es la vida en biofilm sobre el implante [r18]. </w:t>
      </w:r>
      <w:r>
        <w:rPr>
          <w:i/>
        </w:rPr>
        <w:t>S. lugdunensis</w:t>
      </w:r>
      <w:r>
        <w:rPr/>
        <w:t xml:space="preserve"> ocupa una posición intermedia entre S. aureus y S. epidermidis, con rasgos clínicos de ambos [r18].</w:t>
      </w:r>
    </w:p>
    <w:p>
      <w:r>
        <w:rPr>
          <w:b/>
        </w:rPr>
        <w:t>C. acnes: comensal sebáceo.</w:t>
      </w:r>
      <w:r>
        <w:rPr/>
        <w:t xml:space="preserve"> Coloniza más el hombro que la cadera o la rodilla, con más carga en hombres [r5]. El efecto del antiséptico se agota pronto: entre 30 y 180 minutos después, los bordes de la herida vuelven a tener bacterias [r5].</w:t>
      </w:r>
    </w:p>
    <w:p>
      <w:r>
        <w:rPr>
          <w:b/>
        </w:rPr>
        <w:t>Kingella: portador faríngeo.</w:t>
      </w:r>
      <w:r>
        <w:rPr/>
        <w:t xml:space="preserve"> Coloniza la orofaringe desde el segundo semestre de vida y alcanza 10 % entre los 12 y los 24 meses [r32]. Produce una toxina RTX que lisa células epiteliales, fagocíticas y sinoviales [r32].</w:t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[r5] </w:t>
      </w:r>
      <w:r>
        <w:rPr>
          <w:sz w:val="18"/>
        </w:rPr>
        <w:t xml:space="preserve">Achermann Y, Goldstein EJ, Coenye T, Shirtliff ME. Propionibacterium acnes: from commensal to opportunistic biofilm-associated implant pathogen. Clin Microbiol Rev. 2014;27(3):419-40. </w:t>
      </w:r>
      <w:r>
        <w:rPr>
          <w:i/>
          <w:color w:val="5A6469"/>
          <w:sz w:val="17"/>
        </w:rPr>
        <w:t xml:space="preserve">(revision · acceso abierto) </w:t>
      </w:r>
      <w:hyperlink r:id="rId29">
        <w:r>
          <w:rPr>
            <w:color w:val="0563C1"/>
            <w:u w:val="single"/>
            <w:sz w:val="18"/>
          </w:rPr>
          <w:t xml:space="preserve">https://doi.org/10.1128/CMR.00092-13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[r16] </w:t>
      </w:r>
      <w:r>
        <w:rPr>
          <w:sz w:val="18"/>
        </w:rPr>
        <w:t xml:space="preserve">Tong SY, Davis JS, Eichenberger E, Holland TL, Fowler VG Jr. Staphylococcus aureus infections: epidemiology, pathophysiology, clinical manifestations, and management. Clin Microbiol Rev. 2015;28(3):603-61. </w:t>
      </w:r>
      <w:r>
        <w:rPr>
          <w:i/>
          <w:color w:val="5A6469"/>
          <w:sz w:val="17"/>
        </w:rPr>
        <w:t xml:space="preserve">(revision · acceso abierto) </w:t>
      </w:r>
      <w:hyperlink r:id="rId11">
        <w:r>
          <w:rPr>
            <w:color w:val="0563C1"/>
            <w:u w:val="single"/>
            <w:sz w:val="18"/>
          </w:rPr>
          <w:t xml:space="preserve">https://doi.org/10.1128/CMR.00134-14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[r18] </w:t>
      </w:r>
      <w:r>
        <w:rPr>
          <w:sz w:val="18"/>
        </w:rPr>
        <w:t xml:space="preserve">Becker K, Heilmann C, Peters G. Coagulase-negative staphylococci. Clin Microbiol Rev. 2014;27(4):870-926. </w:t>
      </w:r>
      <w:r>
        <w:rPr>
          <w:i/>
          <w:color w:val="5A6469"/>
          <w:sz w:val="17"/>
        </w:rPr>
        <w:t xml:space="preserve">(revision · acceso abierto) </w:t>
      </w:r>
      <w:hyperlink r:id="rId22">
        <w:r>
          <w:rPr>
            <w:color w:val="0563C1"/>
            <w:u w:val="single"/>
            <w:sz w:val="18"/>
          </w:rPr>
          <w:t xml:space="preserve">https://doi.org/10.1128/CMR.00109-13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[r26] </w:t>
      </w:r>
      <w:r>
        <w:rPr>
          <w:sz w:val="18"/>
        </w:rPr>
        <w:t xml:space="preserve">Parsons JB, Mourad A, Conlon BP, Kielian T, Fowler VG Jr. Methicillin-resistant and susceptible Staphylococcus aureus: tolerance, immune evasion and treatment. Nat Rev Microbiol. 2026;24(2):127-145. </w:t>
      </w:r>
      <w:r>
        <w:rPr>
          <w:i/>
          <w:color w:val="5A6469"/>
          <w:sz w:val="17"/>
        </w:rPr>
        <w:t xml:space="preserve">(revision · acceso abierto) </w:t>
      </w:r>
      <w:hyperlink r:id="rId12">
        <w:r>
          <w:rPr>
            <w:color w:val="0563C1"/>
            <w:u w:val="single"/>
            <w:sz w:val="18"/>
          </w:rPr>
          <w:t xml:space="preserve">https://doi.org/10.1038/s41579-025-01226-2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[r27] </w:t>
      </w:r>
      <w:r>
        <w:rPr>
          <w:sz w:val="18"/>
        </w:rPr>
        <w:t xml:space="preserve">Wu H, Yu S, Sun D, Wang S, Wang X, Fu J, et al. Clinical characteristics and risk factors of recurrence for Pseudomonas aeruginosa-associated fracture-related infection following surgical treatment : a 12-year retrospective cohort study. Bone Jt Open. 2026;7(9):1194-1203. </w:t>
      </w:r>
      <w:r>
        <w:rPr>
          <w:i/>
          <w:color w:val="5A6469"/>
          <w:sz w:val="17"/>
        </w:rPr>
        <w:t xml:space="preserve">(cohorte · acceso abierto) </w:t>
      </w:r>
      <w:hyperlink r:id="rId24">
        <w:r>
          <w:rPr>
            <w:color w:val="0563C1"/>
            <w:u w:val="single"/>
            <w:sz w:val="18"/>
          </w:rPr>
          <w:t xml:space="preserve">https://doi.org/10.1302/2633-1462.79.BJO-2026-0015.R1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[r32] </w:t>
      </w:r>
      <w:r>
        <w:rPr>
          <w:sz w:val="18"/>
        </w:rPr>
        <w:t xml:space="preserve">Yagupsky P. Pharyngeal Colonization by Kingella kingae, Transmission, and Pathogenesis of Invasive Infections: A Narrative Review. Microorganisms. 2022;10(3):637. </w:t>
      </w:r>
      <w:r>
        <w:rPr>
          <w:i/>
          <w:color w:val="5A6469"/>
          <w:sz w:val="17"/>
        </w:rPr>
        <w:t xml:space="preserve">(revision · acceso abierto) </w:t>
      </w:r>
      <w:hyperlink r:id="rId30">
        <w:r>
          <w:rPr>
            <w:color w:val="0563C1"/>
            <w:u w:val="single"/>
            <w:sz w:val="18"/>
          </w:rPr>
          <w:t xml:space="preserve">https://doi.org/10.3390/microorganisms10030637</w:t>
        </w:r>
      </w:hyperlink>
    </w:p>
    <w:p>
      <w:pPr>
        <w:pStyle w:val="Heading1"/>
      </w:pPr>
      <w:r>
        <w:t>Perfil por patógeno: dónde aparece y qué lo distingue</w:t>
      </w:r>
    </w:p>
    <w:p>
      <w:r>
        <w:rPr/>
        <w:t>La tabla resume, por germen, el escenario donde lo esperas, la pista que lo delata y el tratamiento dirigido. Cada fila se desarrolla en su bloque propio más abajo. Léela como mapa, no como receta: el antibiograma y tu equipo de infectología manda.</w:t>
      </w:r>
    </w:p>
    <w:p>
      <w:pPr>
        <w:keepNext/>
      </w:pPr>
      <w:r>
        <w:rPr>
          <w:b/>
          <w:color w:val="0F5F6B"/>
          <w:sz w:val="20"/>
        </w:rPr>
        <w:t>Tabla 2. Mapa de gérmenes: escenario, pista y tratamiento dirigido</w:t>
      </w:r>
      <w:r>
        <w:rPr>
          <w:color w:val="5A6469"/>
          <w:sz w:val="18"/>
        </w:rPr>
        <w:t xml:space="preserve">  [r1] [r2] [r3] [r5] [r6] [r7] [r9] [r11] [r12] [r15] [r16] [r18] [r24] [r25] [r26] [r27] [r29] [r31] [r33] [r34] [r35]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Germen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Dónde lo esperas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Pista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Tratamiento dirigido (resumen)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S. aureus sensible a meticilina (MSSA)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Hueso nativo, FRI y prótesis; el más frecuente [r1][r16]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Coloniza sin síntomas a cerca de 30 % de las personas [r26]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Flucloxacilina IV (2 g cada 6 h) [r2]; cefazolina como opción razonable [r24]; con implante retenido, rifampicina más fluoroquinolona 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S. aureus resistente a meticilina (MRSA)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Depende de tu hospital; 37,8 % de los S. aureus en pie diabético latinoamericano [r15]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mecA/PBP2a; CIM alta de vancomicina en VISA [r26]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Vancomicina o teicoplanina IV; alternativas daptomicina o linezolid [r3]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SCN (S. epidermidis, S. haemolyticus)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Prótesis y FRI tardía o de bajo grado; 30-50 % de las protésicas [r18]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Un cultivo único puede ser contaminante [r12]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Si es meticilino resistente se trata como MRSA; sin mecA, como MSSA 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S. lugdunensis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Posición intermedia entre S. aureus y S. epidermidis [r18]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Rasgos clínicos de ambos grupos [r18]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Según antibiograma; tómalo con la seriedad de un S. aureus (opinión experta)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Estreptococos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14,5 % en OVIVA [r1]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La rifampicina no actúa en su biofilm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Betalactámico (penicilina o amoxicilina) 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Pseudomonas aeruginosa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FRI contaminada, prótesis, punción plantar a través de la zapatilla [r33]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Multirresistente en 44,9 % de los aislados de P. aeruginosa de una cohorte de FRI [r27]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Betalactámico antipseudomonas; la quinolona no se usa al inicio [r2]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Enterobacterales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Prótesis de cadera; menos probable en la infección diferida [r31]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Gram negativos en 18 % de las protésicas; cadera OR 2,88 [r31]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Betalactámico según antibiograma; quinolona oral tras desbridar si es sensible 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Cutibacterium acnes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Hombro y columna [r5][r34]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Crecimiento lento: incubar 10-14 días [r5]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Penicilina o ceftriaxona y luego rifampicina combinada [r2]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Pasteurella multocida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Mordedura de perro (50 %) y gato (75 %) [r6]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Dolor e inflamación en 12-24 horas [r7]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Aminopenicilina con inhibidor de betalactamasa [r7]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Eikenella corrodens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Mordedura humana y puñetazo contra dientes [r7]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30 % de las mordeduras humanas [r7]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Aminopenicilina con inhibidor de betalactamasa [r7]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Kingella kingae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Niño de 6 a 36 meses [r9]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Poca fiebre; 39 % con proteína C reactiva normal [r25]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Betalactámico habitual; betalactamasa clonal, perfil local variable [r9]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Candida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Hematógena, inmunodeprimido o FRI con herida abierta [r35][r29]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Líquido sinovial con cultivo muy sensible [r35]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Retirar material; fluconazol o equinocandina [r11][r2]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Mohos (Aspergillus y otros)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Inoculación traumática [r35]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Raros: pide micología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Antifúngico prolongado y cirugía [r35]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[r3] </w:t>
      </w:r>
      <w:r>
        <w:rPr>
          <w:sz w:val="18"/>
        </w:rPr>
        <w:t xml:space="preserve">Brown NM, Goodman AL, Horner C, Jenkins A, Brown EM. Treatment of methicillin-resistant Staphylococcus aureus (MRSA): updated guidelines from the UK. JAC Antimicrob Resist. 2021;3(1):dlaa114. </w:t>
      </w:r>
      <w:r>
        <w:rPr>
          <w:i/>
          <w:color w:val="5A6469"/>
          <w:sz w:val="17"/>
        </w:rPr>
        <w:t xml:space="preserve">(guia · acceso abierto) </w:t>
      </w:r>
      <w:hyperlink r:id="rId31">
        <w:r>
          <w:rPr>
            <w:color w:val="0563C1"/>
            <w:u w:val="single"/>
            <w:sz w:val="18"/>
          </w:rPr>
          <w:t xml:space="preserve">https://doi.org/10.1093/jacamr/dlaa114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[r5] </w:t>
      </w:r>
      <w:r>
        <w:rPr>
          <w:sz w:val="18"/>
        </w:rPr>
        <w:t xml:space="preserve">Achermann Y, Goldstein EJ, Coenye T, Shirtliff ME. Propionibacterium acnes: from commensal to opportunistic biofilm-associated implant pathogen. Clin Microbiol Rev. 2014;27(3):419-40. </w:t>
      </w:r>
      <w:r>
        <w:rPr>
          <w:i/>
          <w:color w:val="5A6469"/>
          <w:sz w:val="17"/>
        </w:rPr>
        <w:t xml:space="preserve">(revision · acceso abierto) </w:t>
      </w:r>
      <w:hyperlink r:id="rId29">
        <w:r>
          <w:rPr>
            <w:color w:val="0563C1"/>
            <w:u w:val="single"/>
            <w:sz w:val="18"/>
          </w:rPr>
          <w:t xml:space="preserve">https://doi.org/10.1128/CMR.00092-13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[r6] </w:t>
      </w:r>
      <w:r>
        <w:rPr>
          <w:sz w:val="18"/>
        </w:rPr>
        <w:t xml:space="preserve">Talan DA, Citron DM, Abrahamian FM, Moran GJ, Goldstein EJ. Bacteriologic analysis of infected dog and cat bites. Emergency Medicine Animal Bite Infection Study Group. N Engl J Med. 1999;340(2):85-92. </w:t>
      </w:r>
      <w:r>
        <w:rPr>
          <w:i/>
          <w:color w:val="5A6469"/>
          <w:sz w:val="17"/>
        </w:rPr>
        <w:t xml:space="preserve">(cohorte · acceso resumen) </w:t>
      </w:r>
      <w:hyperlink r:id="rId32">
        <w:r>
          <w:rPr>
            <w:color w:val="0563C1"/>
            <w:u w:val="single"/>
            <w:sz w:val="18"/>
          </w:rPr>
          <w:t xml:space="preserve">https://doi.org/10.1056/NEJM199901143400202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[r7] </w:t>
      </w:r>
      <w:r>
        <w:rPr>
          <w:sz w:val="18"/>
        </w:rPr>
        <w:t xml:space="preserve">Rothe K, Tsokos M, Handrick W. Animal and Human Bite Wounds. Dtsch Arztebl Int. 2015;112(25):433-42; quiz 443. </w:t>
      </w:r>
      <w:r>
        <w:rPr>
          <w:i/>
          <w:color w:val="5A6469"/>
          <w:sz w:val="17"/>
        </w:rPr>
        <w:t xml:space="preserve">(revision · acceso abierto) </w:t>
      </w:r>
      <w:hyperlink r:id="rId16">
        <w:r>
          <w:rPr>
            <w:color w:val="0563C1"/>
            <w:u w:val="single"/>
            <w:sz w:val="18"/>
          </w:rPr>
          <w:t xml:space="preserve">https://doi.org/10.3238/arztebl.2015.0433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[r9] </w:t>
      </w:r>
      <w:r>
        <w:rPr>
          <w:sz w:val="18"/>
        </w:rPr>
        <w:t xml:space="preserve">Yagupsky P. Kingella kingae: carriage, transmission, and disease. Clin Microbiol Rev. 2015;28(1):54-79. </w:t>
      </w:r>
      <w:r>
        <w:rPr>
          <w:i/>
          <w:color w:val="5A6469"/>
          <w:sz w:val="17"/>
        </w:rPr>
        <w:t xml:space="preserve">(revision · acceso resumen) </w:t>
      </w:r>
      <w:hyperlink r:id="rId17">
        <w:r>
          <w:rPr>
            <w:color w:val="0563C1"/>
            <w:u w:val="single"/>
            <w:sz w:val="18"/>
          </w:rPr>
          <w:t xml:space="preserve">https://doi.org/10.1128/CMR.00028-14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[r11] </w:t>
      </w:r>
      <w:r>
        <w:rPr>
          <w:sz w:val="18"/>
        </w:rPr>
        <w:t xml:space="preserve">Pappas PG, Kauffman CA, Andes DR, Clancy CJ, Marr KA, Ostrosky-Zeichner L, et al. Clinical Practice Guideline for the Management of Candidiasis: 2016 Update by the Infectious Diseases Society of America. Clin Infect Dis. 2016;62(4):e1-50. </w:t>
      </w:r>
      <w:r>
        <w:rPr>
          <w:i/>
          <w:color w:val="5A6469"/>
          <w:sz w:val="17"/>
        </w:rPr>
        <w:t xml:space="preserve">(guia · acceso abierto) </w:t>
      </w:r>
      <w:hyperlink r:id="rId33">
        <w:r>
          <w:rPr>
            <w:color w:val="0563C1"/>
            <w:u w:val="single"/>
            <w:sz w:val="18"/>
          </w:rPr>
          <w:t xml:space="preserve">https://doi.org/10.1093/cid/civ933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[r15] </w:t>
      </w:r>
      <w:r>
        <w:rPr>
          <w:sz w:val="18"/>
        </w:rPr>
        <w:t xml:space="preserve">Husaini DC, Chiroma JH, Sani GM, Ihebie CE, Nwachukwu I, Nwokocha C, et al. Antimicrobial Resistance in Diabetic Foot Infections in Latin America and the Caribbean: A Systematic Review and Meta-Analysis (1980-2025). Int J Microbiol. 2026;2026:5244269. </w:t>
      </w:r>
      <w:r>
        <w:rPr>
          <w:i/>
          <w:color w:val="5A6469"/>
          <w:sz w:val="17"/>
        </w:rPr>
        <w:t xml:space="preserve">(RS-MA · acceso abierto) </w:t>
      </w:r>
      <w:hyperlink r:id="rId20">
        <w:r>
          <w:rPr>
            <w:color w:val="0563C1"/>
            <w:u w:val="single"/>
            <w:sz w:val="18"/>
          </w:rPr>
          <w:t xml:space="preserve">https://doi.org/10.1155/ijm/5244269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[r16] </w:t>
      </w:r>
      <w:r>
        <w:rPr>
          <w:sz w:val="18"/>
        </w:rPr>
        <w:t xml:space="preserve">Tong SY, Davis JS, Eichenberger E, Holland TL, Fowler VG Jr. Staphylococcus aureus infections: epidemiology, pathophysiology, clinical manifestations, and management. Clin Microbiol Rev. 2015;28(3):603-61. </w:t>
      </w:r>
      <w:r>
        <w:rPr>
          <w:i/>
          <w:color w:val="5A6469"/>
          <w:sz w:val="17"/>
        </w:rPr>
        <w:t xml:space="preserve">(revision · acceso abierto) </w:t>
      </w:r>
      <w:hyperlink r:id="rId11">
        <w:r>
          <w:rPr>
            <w:color w:val="0563C1"/>
            <w:u w:val="single"/>
            <w:sz w:val="18"/>
          </w:rPr>
          <w:t xml:space="preserve">https://doi.org/10.1128/CMR.00134-14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[r17] </w:t>
      </w:r>
      <w:r>
        <w:rPr>
          <w:sz w:val="18"/>
        </w:rPr>
        <w:t xml:space="preserve">Daddi L, Golden M, Frumberg D, Spichler-Moffarah A. Is cefazolin an appropriate choice for preoperative prophylaxis in patients undergoing surgery for fracture-related infection. Antimicrob Steward Healthc Epidemiol. 2026;6(1):e216. </w:t>
      </w:r>
      <w:r>
        <w:rPr>
          <w:i/>
          <w:color w:val="5A6469"/>
          <w:sz w:val="17"/>
        </w:rPr>
        <w:t xml:space="preserve">(cohorte · acceso abierto) </w:t>
      </w:r>
      <w:hyperlink r:id="rId21">
        <w:r>
          <w:rPr>
            <w:color w:val="0563C1"/>
            <w:u w:val="single"/>
            <w:sz w:val="18"/>
          </w:rPr>
          <w:t xml:space="preserve">https://doi.org/10.1017/ash.2026.10755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[r18] </w:t>
      </w:r>
      <w:r>
        <w:rPr>
          <w:sz w:val="18"/>
        </w:rPr>
        <w:t xml:space="preserve">Becker K, Heilmann C, Peters G. Coagulase-negative staphylococci. Clin Microbiol Rev. 2014;27(4):870-926. </w:t>
      </w:r>
      <w:r>
        <w:rPr>
          <w:i/>
          <w:color w:val="5A6469"/>
          <w:sz w:val="17"/>
        </w:rPr>
        <w:t xml:space="preserve">(revision · acceso abierto) </w:t>
      </w:r>
      <w:hyperlink r:id="rId22">
        <w:r>
          <w:rPr>
            <w:color w:val="0563C1"/>
            <w:u w:val="single"/>
            <w:sz w:val="18"/>
          </w:rPr>
          <w:t xml:space="preserve">https://doi.org/10.1128/CMR.00109-13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[r24] </w:t>
      </w:r>
      <w:r>
        <w:rPr>
          <w:sz w:val="18"/>
        </w:rPr>
        <w:t xml:space="preserve">Werneburg F, Beschauner J, Werneburg LI, Zeh A, Gutteck N, Delank KS. Cefazolin Versus Antistaphylococcal Penicillins in Methicillin-Susceptible Staphylococcus aureus Bone and Joint Infections: A Narrative Review. Antibiotics (Basel). 2026;15(9):930. </w:t>
      </w:r>
      <w:r>
        <w:rPr>
          <w:i/>
          <w:color w:val="5A6469"/>
          <w:sz w:val="17"/>
        </w:rPr>
        <w:t xml:space="preserve">(revision · acceso abierto) </w:t>
      </w:r>
      <w:hyperlink r:id="rId34">
        <w:r>
          <w:rPr>
            <w:color w:val="0563C1"/>
            <w:u w:val="single"/>
            <w:sz w:val="18"/>
          </w:rPr>
          <w:t xml:space="preserve">https://doi.org/10.3390/antibiotics15090930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[r25] </w:t>
      </w:r>
      <w:r>
        <w:rPr>
          <w:sz w:val="18"/>
        </w:rPr>
        <w:t xml:space="preserve">Ceroni D, Cherkaoui A, Ferey S, Kaelin A, Schrenzel J. Kingella kingae osteoarticular infections in young children: clinical features and contribution of a new specific real-time PCR assay to the diagnosis. J Pediatr Orthop. 2010;30(3):301-4. </w:t>
      </w:r>
      <w:r>
        <w:rPr>
          <w:i/>
          <w:color w:val="5A6469"/>
          <w:sz w:val="17"/>
        </w:rPr>
        <w:t xml:space="preserve">(cohorte · acceso resumen) </w:t>
      </w:r>
      <w:hyperlink r:id="rId35">
        <w:r>
          <w:rPr>
            <w:color w:val="0563C1"/>
            <w:u w:val="single"/>
            <w:sz w:val="18"/>
          </w:rPr>
          <w:t xml:space="preserve">https://doi.org/10.1097/BPO.0b013e3181d4732f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[r26] </w:t>
      </w:r>
      <w:r>
        <w:rPr>
          <w:sz w:val="18"/>
        </w:rPr>
        <w:t xml:space="preserve">Parsons JB, Mourad A, Conlon BP, Kielian T, Fowler VG Jr. Methicillin-resistant and susceptible Staphylococcus aureus: tolerance, immune evasion and treatment. Nat Rev Microbiol. 2026;24(2):127-145. </w:t>
      </w:r>
      <w:r>
        <w:rPr>
          <w:i/>
          <w:color w:val="5A6469"/>
          <w:sz w:val="17"/>
        </w:rPr>
        <w:t xml:space="preserve">(revision · acceso abierto) </w:t>
      </w:r>
      <w:hyperlink r:id="rId12">
        <w:r>
          <w:rPr>
            <w:color w:val="0563C1"/>
            <w:u w:val="single"/>
            <w:sz w:val="18"/>
          </w:rPr>
          <w:t xml:space="preserve">https://doi.org/10.1038/s41579-025-01226-2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[r27] </w:t>
      </w:r>
      <w:r>
        <w:rPr>
          <w:sz w:val="18"/>
        </w:rPr>
        <w:t xml:space="preserve">Wu H, Yu S, Sun D, Wang S, Wang X, Fu J, et al. Clinical characteristics and risk factors of recurrence for Pseudomonas aeruginosa-associated fracture-related infection following surgical treatment : a 12-year retrospective cohort study. Bone Jt Open. 2026;7(9):1194-1203. </w:t>
      </w:r>
      <w:r>
        <w:rPr>
          <w:i/>
          <w:color w:val="5A6469"/>
          <w:sz w:val="17"/>
        </w:rPr>
        <w:t xml:space="preserve">(cohorte · acceso abierto) </w:t>
      </w:r>
      <w:hyperlink r:id="rId24">
        <w:r>
          <w:rPr>
            <w:color w:val="0563C1"/>
            <w:u w:val="single"/>
            <w:sz w:val="18"/>
          </w:rPr>
          <w:t xml:space="preserve">https://doi.org/10.1302/2633-1462.79.BJO-2026-0015.R1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[r29] </w:t>
      </w:r>
      <w:r>
        <w:rPr>
          <w:sz w:val="18"/>
        </w:rPr>
        <w:t xml:space="preserve">De Meo D, Cera G, Ceccarelli G, Castagna V, Aronica R, Pieracci EM, et al. Candida fracture-related infection: a systematic review. J Bone Jt Infect. 2021;6(7):321-328. </w:t>
      </w:r>
      <w:r>
        <w:rPr>
          <w:i/>
          <w:color w:val="5A6469"/>
          <w:sz w:val="17"/>
        </w:rPr>
        <w:t xml:space="preserve">(RS-MA · acceso abierto) </w:t>
      </w:r>
      <w:hyperlink r:id="rId26">
        <w:r>
          <w:rPr>
            <w:color w:val="0563C1"/>
            <w:u w:val="single"/>
            <w:sz w:val="18"/>
          </w:rPr>
          <w:t xml:space="preserve">https://doi.org/10.5194/jbji-6-321-2021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[r31] </w:t>
      </w:r>
      <w:r>
        <w:rPr>
          <w:sz w:val="18"/>
        </w:rPr>
        <w:t xml:space="preserve">Tedeschi S, Fernandez-Sampedro M, Zamparini E, Rossi N, Ferraro G, Pecorelli A, et al. Gram-negative aetiology in hip and knee prosthetic joint infections: risk factors and implications for empirical antibiotic therapy-a retrospective cohort study. JAC Antimicrob Resist. 2026;8(5):dlag206. </w:t>
      </w:r>
      <w:r>
        <w:rPr>
          <w:i/>
          <w:color w:val="5A6469"/>
          <w:sz w:val="17"/>
        </w:rPr>
        <w:t xml:space="preserve">(cohorte · acceso abierto) </w:t>
      </w:r>
      <w:hyperlink r:id="rId28">
        <w:r>
          <w:rPr>
            <w:color w:val="0563C1"/>
            <w:u w:val="single"/>
            <w:sz w:val="18"/>
          </w:rPr>
          <w:t xml:space="preserve">https://doi.org/10.1093/jacamr/dlag206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[r33] </w:t>
      </w:r>
      <w:r>
        <w:rPr>
          <w:sz w:val="18"/>
        </w:rPr>
        <w:t xml:space="preserve">Inaba AS, Zukin DD, Perro M. An update on the evaluation and management of plantar puncture wounds and Pseudomonas osteomyelitis. Pediatr Emerg Care. 1992;8(1):38-44. </w:t>
      </w:r>
      <w:r>
        <w:rPr>
          <w:i/>
          <w:color w:val="5A6469"/>
          <w:sz w:val="17"/>
        </w:rPr>
        <w:t xml:space="preserve">(revision · acceso resumen) </w:t>
      </w:r>
      <w:hyperlink r:id="rId36">
        <w:r>
          <w:rPr>
            <w:color w:val="0563C1"/>
            <w:u w:val="single"/>
            <w:sz w:val="18"/>
          </w:rPr>
          <w:t xml:space="preserve">https://doi.org/10.1097/00006565-199202000-00012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[r34] </w:t>
      </w:r>
      <w:r>
        <w:rPr>
          <w:sz w:val="18"/>
        </w:rPr>
        <w:t xml:space="preserve">Panzenböck LF, Scheuer R, Pallamar M, Scheider P, Krepler P. Cutibacterium acnes in elective spine surgery: a 24-year characterization of treated and untreated culture-positive patients. Spine J. 2026 Sep 12. Epub ahead of print. </w:t>
      </w:r>
      <w:r>
        <w:rPr>
          <w:i/>
          <w:color w:val="5A6469"/>
          <w:sz w:val="17"/>
        </w:rPr>
        <w:t xml:space="preserve">(cohorte · acceso resumen) </w:t>
      </w:r>
      <w:hyperlink r:id="rId37">
        <w:r>
          <w:rPr>
            <w:color w:val="0563C1"/>
            <w:u w:val="single"/>
            <w:sz w:val="18"/>
          </w:rPr>
          <w:t xml:space="preserve">https://doi.org/10.1016/j.spinee.2026.09.006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[r35] </w:t>
      </w:r>
      <w:r>
        <w:rPr>
          <w:sz w:val="18"/>
        </w:rPr>
        <w:t xml:space="preserve">Gamaletsou MN, Rammaert B, Brause B, Bueno MA, Dadwal SS, Henry MW, et al. Osteoarticular Mycoses. Clin Microbiol Rev. 2022;35(4):e0008619. </w:t>
      </w:r>
      <w:r>
        <w:rPr>
          <w:i/>
          <w:color w:val="5A6469"/>
          <w:sz w:val="17"/>
        </w:rPr>
        <w:t xml:space="preserve">(revision · acceso resumen) </w:t>
      </w:r>
      <w:hyperlink r:id="rId38">
        <w:r>
          <w:rPr>
            <w:color w:val="0563C1"/>
            <w:u w:val="single"/>
            <w:sz w:val="18"/>
          </w:rPr>
          <w:t xml:space="preserve">https://doi.org/10.1128/cmr.00086-19</w:t>
        </w:r>
      </w:hyperlink>
    </w:p>
    <w:p>
      <w:pPr>
        <w:pStyle w:val="Heading1"/>
      </w:pPr>
      <w:r>
        <w:t>Cómo agruparlos para decidir</w:t>
      </w:r>
    </w:p>
    <w:p>
      <w:r>
        <w:rPr/>
        <w:t>No existe una clasificación única de gérmenes; se usan 3 agrupaciones según la decisión que tomas.</w:t>
      </w:r>
    </w:p>
    <w:p>
      <w:r>
        <w:rPr>
          <w:b/>
        </w:rPr>
        <w:t>Por resistencia y estrategia.</w:t>
      </w:r>
      <w:r>
        <w:rPr/>
        <w:t xml:space="preserve"> MSSA, MRSA y SCN meticilino resistente, Gram negativos con o sin multirresistencia, anaerobios y hongos. Es la que decide el fármaco.</w:t>
      </w:r>
    </w:p>
    <w:p>
      <w:r>
        <w:rPr>
          <w:b/>
        </w:rPr>
        <w:t>Por tiempo de la infección.</w:t>
      </w:r>
      <w:r>
        <w:rPr/>
        <w:t xml:space="preserve"> La clasificación clásica de la infección protésica separa la temprana (menos de 4 semanas), la intermedia (4 semanas a 2 años) y la tardía [r18]. En FRI no hay evidencia sólida que favorezca una clasificación temporal sobre otra [r2]. Aun así el tiempo importa: en prótesis, con más de 4 semanas de síntomas y el implante retenido, la falla del antibiótico sube, y el consenso de FRI usa ese dato [r2].</w:t>
      </w:r>
    </w:p>
    <w:p>
      <w:r>
        <w:rPr>
          <w:b/>
        </w:rPr>
        <w:t>Por virulencia.</w:t>
      </w:r>
      <w:r>
        <w:rPr/>
        <w:t xml:space="preserve"> Los SCN se asocian más a la infección protésica de bajo grado (dolor persistente, aflojamiento y pocos signos inflamatorios) [r18]; S. aureus y los Gram negativos suelen dar cuadros más floridos (opinión experta). Esa diferencia decide cuántas muestras pides y cuánto desconfías de un cultivo aislado.</w:t>
      </w:r>
    </w:p>
    <w:p>
      <w:pPr>
        <w:keepNext/>
      </w:pPr>
      <w:r>
        <w:rPr>
          <w:b/>
          <w:color w:val="0F5F6B"/>
          <w:sz w:val="20"/>
        </w:rPr>
        <w:t>Tabla 3. Resumen: qué agrupación responde a qué pregunta</w:t>
      </w:r>
      <w:r>
        <w:rPr>
          <w:color w:val="5A6469"/>
          <w:sz w:val="18"/>
        </w:rPr>
        <w:t xml:space="preserve">  [r2] [r12] [r17] [r18]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Eje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Categorías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Qué decide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Resistencia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MSSA · MRSA y SCN resistente · Gram negativo · anaerobio · hongo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El fármaco y la necesidad de combinar [r2]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Tiempo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Temprana (menos de 4 semanas) · intermedia (4 semanas a 2 años) · tardía [r18]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Si el desbridamiento con implante retenido tiene opción; más de 4 semanas de síntomas empeora el pronóstico [r2]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Virulencia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Más florida (S. aureus, Gram negativos; opinión experta) · de bajo grado (SCN) [r18]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Cuántas muestras tomar y cómo leer un cultivo único [r12]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Escenario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Hueso nativo · FRI · prótesis · mordedura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Qué cubrir de forma empírica [r17]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[r17] </w:t>
      </w:r>
      <w:r>
        <w:rPr>
          <w:sz w:val="18"/>
        </w:rPr>
        <w:t xml:space="preserve">Daddi L, Golden M, Frumberg D, Spichler-Moffarah A. Is cefazolin an appropriate choice for preoperative prophylaxis in patients undergoing surgery for fracture-related infection. Antimicrob Steward Healthc Epidemiol. 2026;6(1):e216. </w:t>
      </w:r>
      <w:r>
        <w:rPr>
          <w:i/>
          <w:color w:val="5A6469"/>
          <w:sz w:val="17"/>
        </w:rPr>
        <w:t xml:space="preserve">(cohorte · acceso abierto) </w:t>
      </w:r>
      <w:hyperlink r:id="rId21">
        <w:r>
          <w:rPr>
            <w:color w:val="0563C1"/>
            <w:u w:val="single"/>
            <w:sz w:val="18"/>
          </w:rPr>
          <w:t xml:space="preserve">https://doi.org/10.1017/ash.2026.10755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[r18] </w:t>
      </w:r>
      <w:r>
        <w:rPr>
          <w:sz w:val="18"/>
        </w:rPr>
        <w:t xml:space="preserve">Becker K, Heilmann C, Peters G. Coagulase-negative staphylococci. Clin Microbiol Rev. 2014;27(4):870-926. </w:t>
      </w:r>
      <w:r>
        <w:rPr>
          <w:i/>
          <w:color w:val="5A6469"/>
          <w:sz w:val="17"/>
        </w:rPr>
        <w:t xml:space="preserve">(revision · acceso abierto) </w:t>
      </w:r>
      <w:hyperlink r:id="rId22">
        <w:r>
          <w:rPr>
            <w:color w:val="0563C1"/>
            <w:u w:val="single"/>
            <w:sz w:val="18"/>
          </w:rPr>
          <w:t xml:space="preserve">https://doi.org/10.1128/CMR.00109-13</w:t>
        </w:r>
      </w:hyperlink>
    </w:p>
    <w:p>
      <w:pPr>
        <w:pStyle w:val="Heading1"/>
      </w:pPr>
      <w:r>
        <w:t>Diagnóstico microbiológico: cómo se confirma el germen</w:t>
      </w:r>
    </w:p>
    <w:p>
      <w:r>
        <w:rPr>
          <w:b/>
        </w:rPr>
        <w:t>Cuándo hay infección con implante.</w:t>
      </w:r>
      <w:r>
        <w:rPr/>
        <w:t xml:space="preserve"> El consenso de FRI define criterios confirmatorios: fístula, trayecto o dehiscencia que comunica con el hueso o el implante [r4]; pus en la herida o durante la cirugía; germen indistinguible en al menos 2 muestras profundas o del implante; y microorganismos en tejido profundo confirmados por histopatología [r13]. Para la prótesis, la definición EBJIS añade que 2 muestras con germen indistinguible y el mismo antibiograma definen infección [r12]; esa definición nació de la sociedad europea de infección ósea y articular, con el apoyo de MSIS y del grupo de estudio de ESCMID sobre infecciones asociadas a implantes [r12].</w:t>
      </w:r>
    </w:p>
    <w:p>
      <w:r>
        <w:rPr>
          <w:b/>
        </w:rPr>
        <w:t>El cultivo aislado de un comensal.</w:t>
      </w:r>
      <w:r>
        <w:rPr/>
        <w:t xml:space="preserve"> Un solo cultivo con SCN o C. acnes no confirma infección y debe llevarte a investigar más [r12]. En una serie espinal de 24 años, los episodios que el equipo decidió tratar fueron más polimicrobianos, crecieron antes y tuvieron 2 o más muestras positivas; los autores aclaran que eso describe la decisión del equipo y no una infección probada [r34].</w:t>
      </w:r>
    </w:p>
    <w:p>
      <w:r>
        <w:rPr>
          <w:b/>
        </w:rPr>
        <w:t>Cuántas muestras y cómo.</w:t>
      </w:r>
      <w:r>
        <w:rPr/>
        <w:t xml:space="preserve"> Lo ideal son 5 muestras profundas o más [r4]. Búscalas donde el implante toca el hueso, manipula lo mínimo y cambia de instrumento estéril entre una y otra [r4]. Descarta el hisopo, que rinde menos que el tejido, y lo que venga de piel o del trayecto fistuloso: ahí crece lo que coloniza, no lo que causa [r4]. Con menos de 3 muestras es más probable un cultivo negativo en FRI [r2].</w:t>
      </w:r>
    </w:p>
    <w:p>
      <w:r>
        <w:rPr>
          <w:b/>
        </w:rPr>
        <w:t>Antibiótico previo.</w:t>
      </w:r>
      <w:r>
        <w:rPr/>
        <w:t xml:space="preserve"> Si es posible, suspende el antibiótico al menos 2 semanas antes [r4]. La profilaxis perioperatoria no tiene por qué retenerse: en un ensayo de 65 pacientes con PJI conocida, el mismo germen apareció en 82 % con profilaxis antes de la incisión y en 81 % si se daba después de las muestras [r19]. Aun así, el consenso de FRI sugiere administrar el antibiótico justo después de tomar las muestras si hay sospecha [r4].</w:t>
      </w:r>
    </w:p>
    <w:p>
      <w:r>
        <w:rPr>
          <w:b/>
        </w:rPr>
        <w:t>Biopsia de hueso cerrada.</w:t>
      </w:r>
      <w:r>
        <w:rPr/>
        <w:t xml:space="preserve"> En osteomielitis vertebral, el hemocultivo da diagnóstico en 58 % y la biopsia ósea en 77 %; una segunda biopsia tras una primera negativa llegó a 80 % frente a 44 % con una sola [r16]. En FRI, la aspiración o biopsia ósea cerrada no es útil, porque se necesita el desbridamiento para obtener las muestras profundas [r4].</w:t>
      </w:r>
    </w:p>
    <w:p>
      <w:r>
        <w:rPr>
          <w:b/>
        </w:rPr>
        <w:t>Sonicado del implante.</w:t>
      </w:r>
      <w:r>
        <w:rPr/>
        <w:t xml:space="preserve"> En prótesis, el sonicado fue más sensible que el cultivo de tejido: 78,5 % frente a 60,8 %, con especificidades de 98,8 % y 99,2 % [r36]. Con antibiótico en los 14 días previos, la sensibilidad fue 75,0 % frente a 45,0 % [r36]. Más de 50 UFC/ml en el sonicado confirma infección [r12]. En FRI el sonicado es un complemento, no superior al tejido [r4]: en 157 pacientes, tejido y sonicado detectaron germen en 60,5 % y 57,3 %, y juntos en 70,1 % [r20].</w:t>
      </w:r>
    </w:p>
    <w:p>
      <w:r>
        <w:rPr>
          <w:b/>
        </w:rPr>
        <w:t>Tiempo de incubación.</w:t>
      </w:r>
      <w:r>
        <w:rPr/>
        <w:t xml:space="preserve"> Con sistemas automatizados, un cultivo con germen se suele positivar hacia el día 3 y casi todos ya lo hicieron al día 5; si buscas gérmenes lentos, la incubación sigue hasta los días 10 a 14 [r4]. La EBJIS pide incubar al menos 14 días salvo que se use enriquecimiento [r12].</w:t>
      </w:r>
    </w:p>
    <w:p>
      <w:r>
        <w:rPr>
          <w:b/>
        </w:rPr>
        <w:t>Molecular.</w:t>
      </w:r>
      <w:r>
        <w:rPr/>
        <w:t xml:space="preserve"> El beneficio de las técnicas moleculares (PCR) para diagnosticar FRI todavía no está establecido [r4]. En el niño pequeño, la PCR molecular de Kingella tuvo sensibilidad de 95,7 % y especificidad de 100 % [r10].</w:t>
      </w:r>
    </w:p>
    <w:p>
      <w:pPr>
        <w:keepNext/>
      </w:pPr>
      <w:r>
        <w:rPr>
          <w:b/>
          <w:color w:val="0F5F6B"/>
          <w:sz w:val="20"/>
        </w:rPr>
        <w:t>Tabla 4. Qué cuenta como confirmación de infección con material</w:t>
      </w:r>
      <w:r>
        <w:rPr>
          <w:color w:val="5A6469"/>
          <w:sz w:val="18"/>
        </w:rPr>
        <w:t xml:space="preserve">  [r12] [r13] [r4]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Escenario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Criterio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Fuente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FRI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Fístula o dehiscencia que comunica con hueso o implante; pus en la cirugía; germen indistinguible en al menos 2 muestras profundas; microorganismos en histología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Consenso de definición de FRI [r13][r4]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Prótesis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Germen indistinguible, con el mismo antibiograma, en al menos 2 muestras distintas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Definición EBJIS [r12]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Prótesis (sonicado)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Más de 50 UFC/ml sin concentración; 200 UFC/ml si se concentra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Definición EBJIS [r12]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Cualquier escenario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SCN o C. acnes en 1 solo cultivo no confirma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Definición EBJIS [r12]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Figura 2. Cultivo de tejido frente a sonicado de prótesis (331 pacientes): sensibilidad y especificidad</w:t>
      </w:r>
      <w:r>
        <w:rPr>
          <w:color w:val="5A6469"/>
          <w:sz w:val="18"/>
        </w:rPr>
        <w:t xml:space="preserve">  [r36]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2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3. PCR molecular de Kingella kingae frente al diagnóstico clínico (500 pacientes)</w:t>
      </w:r>
      <w:r>
        <w:rPr>
          <w:color w:val="5A6469"/>
          <w:sz w:val="18"/>
        </w:rPr>
        <w:t xml:space="preserve">  [r10]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3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4. Rendimiento de una segunda biopsia en osteomielitis vertebral con una primera negativa</w:t>
      </w:r>
      <w:r>
        <w:rPr>
          <w:color w:val="5A6469"/>
          <w:sz w:val="18"/>
        </w:rPr>
        <w:t xml:space="preserve">  [r16]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[r4] </w:t>
      </w:r>
      <w:r>
        <w:rPr>
          <w:sz w:val="18"/>
        </w:rPr>
        <w:t xml:space="preserve">Govaert GAM, Kuehl R, Atkins BL, Trampuz A, Morgenstern M, Obremskey WT, et al. Diagnosing Fracture-Related Infection: Current Concepts and Recommendations. J Orthop Trauma. 2020;34(1):8-17. </w:t>
      </w:r>
      <w:r>
        <w:rPr>
          <w:i/>
          <w:color w:val="5A6469"/>
          <w:sz w:val="17"/>
        </w:rPr>
        <w:t xml:space="preserve">(guia · acceso abierto) </w:t>
      </w:r>
      <w:hyperlink r:id="rId42">
        <w:r>
          <w:rPr>
            <w:color w:val="0563C1"/>
            <w:u w:val="single"/>
            <w:sz w:val="18"/>
          </w:rPr>
          <w:t xml:space="preserve">https://doi.org/10.1097/BOT.0000000000001614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[r5] </w:t>
      </w:r>
      <w:r>
        <w:rPr>
          <w:sz w:val="18"/>
        </w:rPr>
        <w:t xml:space="preserve">Achermann Y, Goldstein EJ, Coenye T, Shirtliff ME. Propionibacterium acnes: from commensal to opportunistic biofilm-associated implant pathogen. Clin Microbiol Rev. 2014;27(3):419-40. </w:t>
      </w:r>
      <w:r>
        <w:rPr>
          <w:i/>
          <w:color w:val="5A6469"/>
          <w:sz w:val="17"/>
        </w:rPr>
        <w:t xml:space="preserve">(revision · acceso abierto) </w:t>
      </w:r>
      <w:hyperlink r:id="rId29">
        <w:r>
          <w:rPr>
            <w:color w:val="0563C1"/>
            <w:u w:val="single"/>
            <w:sz w:val="18"/>
          </w:rPr>
          <w:t xml:space="preserve">https://doi.org/10.1128/CMR.00092-13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[r10] </w:t>
      </w:r>
      <w:r>
        <w:rPr>
          <w:sz w:val="18"/>
        </w:rPr>
        <w:t xml:space="preserve">Oyeniran SJ, Leber AL, Wang H. An in-house Kingella kingae PCR in a large pediatric cohort: impact on diagnosis, antimicrobial stewardship, and clinical outcomes. J Clin Microbiol. 2025;63(11):e0098625. </w:t>
      </w:r>
      <w:r>
        <w:rPr>
          <w:i/>
          <w:color w:val="5A6469"/>
          <w:sz w:val="17"/>
        </w:rPr>
        <w:t xml:space="preserve">(cohorte · acceso resumen) </w:t>
      </w:r>
      <w:hyperlink r:id="rId43">
        <w:r>
          <w:rPr>
            <w:color w:val="0563C1"/>
            <w:u w:val="single"/>
            <w:sz w:val="18"/>
          </w:rPr>
          <w:t xml:space="preserve">https://doi.org/10.1128/jcm.00986-25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[r13] </w:t>
      </w:r>
      <w:r>
        <w:rPr>
          <w:sz w:val="18"/>
        </w:rPr>
        <w:t xml:space="preserve">Metsemakers WJ, Morgenstern M, McNally MA, Moriarty TF, McFadyen I, Scarborough M, et al. Fracture-related infection: A consensus on definition from an international expert group. Injury. 2018;49(3):505-510. </w:t>
      </w:r>
      <w:r>
        <w:rPr>
          <w:i/>
          <w:color w:val="5A6469"/>
          <w:sz w:val="17"/>
        </w:rPr>
        <w:t xml:space="preserve">(guia · acceso resumen) </w:t>
      </w:r>
      <w:hyperlink r:id="rId44">
        <w:r>
          <w:rPr>
            <w:color w:val="0563C1"/>
            <w:u w:val="single"/>
            <w:sz w:val="18"/>
          </w:rPr>
          <w:t xml:space="preserve">https://doi.org/10.1016/j.injury.2017.08.040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[r16] </w:t>
      </w:r>
      <w:r>
        <w:rPr>
          <w:sz w:val="18"/>
        </w:rPr>
        <w:t xml:space="preserve">Tong SY, Davis JS, Eichenberger E, Holland TL, Fowler VG Jr. Staphylococcus aureus infections: epidemiology, pathophysiology, clinical manifestations, and management. Clin Microbiol Rev. 2015;28(3):603-61. </w:t>
      </w:r>
      <w:r>
        <w:rPr>
          <w:i/>
          <w:color w:val="5A6469"/>
          <w:sz w:val="17"/>
        </w:rPr>
        <w:t xml:space="preserve">(revision · acceso abierto) </w:t>
      </w:r>
      <w:hyperlink r:id="rId11">
        <w:r>
          <w:rPr>
            <w:color w:val="0563C1"/>
            <w:u w:val="single"/>
            <w:sz w:val="18"/>
          </w:rPr>
          <w:t xml:space="preserve">https://doi.org/10.1128/CMR.00134-14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[r19] </w:t>
      </w:r>
      <w:r>
        <w:rPr>
          <w:sz w:val="18"/>
        </w:rPr>
        <w:t xml:space="preserve">Tetreault MW, Wetters NG, Aggarwal V, Mont M, Parvizi J, Della Valle CJ. The Chitranjan Ranawat Award: Should prophylactic antibiotics be withheld before revision surgery to obtain appropriate cultures?. Clin Orthop Relat Res. 2014;472(1):52-6. </w:t>
      </w:r>
      <w:r>
        <w:rPr>
          <w:i/>
          <w:color w:val="5A6469"/>
          <w:sz w:val="17"/>
        </w:rPr>
        <w:t xml:space="preserve">(ECA · acceso abierto) </w:t>
      </w:r>
      <w:hyperlink r:id="rId45">
        <w:r>
          <w:rPr>
            <w:color w:val="0563C1"/>
            <w:u w:val="single"/>
            <w:sz w:val="18"/>
          </w:rPr>
          <w:t xml:space="preserve">https://doi.org/10.1007/s11999-013-3016-5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[r20] </w:t>
      </w:r>
      <w:r>
        <w:rPr>
          <w:sz w:val="18"/>
        </w:rPr>
        <w:t xml:space="preserve">Abdo B, Strack D, Schäuffele M, Tüngler TL, Imirzalioglu C, Windhorst A, et al. Sonication versus peri-implant tissue culture in fracture-related infection: diagnostic performance and therapeutic consequences in a single-center cohort. J Bone Jt Infect. 2026;11(4):555-563. </w:t>
      </w:r>
      <w:r>
        <w:rPr>
          <w:i/>
          <w:color w:val="5A6469"/>
          <w:sz w:val="17"/>
        </w:rPr>
        <w:t xml:space="preserve">(cohorte · acceso abierto) </w:t>
      </w:r>
      <w:hyperlink r:id="rId46">
        <w:r>
          <w:rPr>
            <w:color w:val="0563C1"/>
            <w:u w:val="single"/>
            <w:sz w:val="18"/>
          </w:rPr>
          <w:t xml:space="preserve">https://doi.org/10.5194/jbji-11-555-2026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[r34] </w:t>
      </w:r>
      <w:r>
        <w:rPr>
          <w:sz w:val="18"/>
        </w:rPr>
        <w:t xml:space="preserve">Panzenböck LF, Scheuer R, Pallamar M, Scheider P, Krepler P. Cutibacterium acnes in elective spine surgery: a 24-year characterization of treated and untreated culture-positive patients. Spine J. 2026 Sep 12. Epub ahead of print. </w:t>
      </w:r>
      <w:r>
        <w:rPr>
          <w:i/>
          <w:color w:val="5A6469"/>
          <w:sz w:val="17"/>
        </w:rPr>
        <w:t xml:space="preserve">(cohorte · acceso resumen) </w:t>
      </w:r>
      <w:hyperlink r:id="rId37">
        <w:r>
          <w:rPr>
            <w:color w:val="0563C1"/>
            <w:u w:val="single"/>
            <w:sz w:val="18"/>
          </w:rPr>
          <w:t xml:space="preserve">https://doi.org/10.1016/j.spinee.2026.09.006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[r36] </w:t>
      </w:r>
      <w:r>
        <w:rPr>
          <w:sz w:val="18"/>
        </w:rPr>
        <w:t xml:space="preserve">Trampuz A, Piper KE, Jacobson MJ, Hanssen AD, Unni KK, Osmon DR, et al. Sonication of removed hip and knee prostheses for diagnosis of infection. N Engl J Med. 2007;357(7):654-63. </w:t>
      </w:r>
      <w:r>
        <w:rPr>
          <w:i/>
          <w:color w:val="5A6469"/>
          <w:sz w:val="17"/>
        </w:rPr>
        <w:t xml:space="preserve">(cohorte · acceso resumen) </w:t>
      </w:r>
      <w:hyperlink r:id="rId47">
        <w:r>
          <w:rPr>
            <w:color w:val="0563C1"/>
            <w:u w:val="single"/>
            <w:sz w:val="18"/>
          </w:rPr>
          <w:t xml:space="preserve">https://doi.org/10.1056/NEJMoa061588</w:t>
        </w:r>
      </w:hyperlink>
    </w:p>
    <w:p>
      <w:pPr>
        <w:pStyle w:val="Heading1"/>
      </w:pPr>
      <w:r>
        <w:t>Algoritmo: del paciente con sospecha de infección al antibiótico dirigido</w:t>
      </w:r>
    </w:p>
    <w:p>
      <w:r>
        <w:rPr/>
        <w:t>Esquema para estudiar, que ordena el razonamiento de los bloques anteriores. No sustituye la guía de tu hospital ni al equipo de infectología.</w:t>
      </w:r>
    </w:p>
    <w:p>
      <w:pPr>
        <w:keepNext/>
      </w:pPr>
      <w:r>
        <w:rPr>
          <w:b/>
          <w:color w:val="0F5F6B"/>
          <w:sz w:val="20"/>
        </w:rPr>
        <w:t>Algoritmo. Sospecha de infección en trauma y ortopedia con germen incierto</w:t>
      </w:r>
      <w:r>
        <w:rPr>
          <w:color w:val="5A6469"/>
          <w:sz w:val="18"/>
        </w:rPr>
        <w:t xml:space="preserve">  [r4] [r2] [r12] [r1]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510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1134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Tipo</w:t>
            </w:r>
          </w:p>
        </w:tc>
        <w:tc>
          <w:tcPr>
            <w:tcW w:type="dxa" w:w="3572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Paso</w:t>
            </w:r>
          </w:p>
        </w:tc>
        <w:tc>
          <w:tcPr>
            <w:tcW w:type="dxa" w:w="4195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Siguiente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Inicio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Sospecha de infección: hueso, fractura con implante, prótesis, herida contaminada o mordedura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continuar → ¿Paciente séptico o inestable?</w:t>
            </w:r>
          </w:p>
        </w:tc>
      </w:tr>
      <w:tr>
        <w:tc>
          <w:tcPr>
            <w:tcW w:type="dxa" w:w="510"/>
            <w:shd w:val="clear" w:color="auto" w:fill="EEF3F4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134"/>
            <w:shd w:val="clear" w:color="auto" w:fill="EEF3F4"/>
          </w:tcPr>
          <w:p>
            <w:r/>
            <w:r>
              <w:rPr>
                <w:sz w:val="20"/>
              </w:rPr>
              <w:t>Decisión</w:t>
            </w:r>
          </w:p>
        </w:tc>
        <w:tc>
          <w:tcPr>
            <w:tcW w:type="dxa" w:w="3572"/>
            <w:shd w:val="clear" w:color="auto" w:fill="EEF3F4"/>
          </w:tcPr>
          <w:p>
            <w:r/>
            <w:r>
              <w:rPr>
                <w:sz w:val="20"/>
              </w:rPr>
              <w:t>¿Paciente séptico o inestable?</w:t>
            </w:r>
          </w:p>
        </w:tc>
        <w:tc>
          <w:tcPr>
            <w:tcW w:type="dxa" w:w="4195"/>
            <w:shd w:val="clear" w:color="auto" w:fill="EEF3F4"/>
          </w:tcPr>
          <w:p>
            <w:r/>
            <w:r>
              <w:rPr>
                <w:sz w:val="20"/>
              </w:rPr>
              <w:t>sí → Séptico: hemocultivos [r4] y antibiótico empírico amplio sin esperar al desbridamiento [r2]; no → Primero desbridamiento con muestras profundas: 5 o más, instrumento limpio por muestra, sin hisopo ni piel [r4]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Acción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Séptico: hemocultivos [r4] y antibiótico empírico amplio sin esperar al desbridamiento [r2]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continuar → Primero desbridamiento con muestras profundas: 5 o más, instrumento limpio por muestra, sin hisopo ni piel [r4]</w:t>
            </w:r>
          </w:p>
        </w:tc>
      </w:tr>
      <w:tr>
        <w:tc>
          <w:tcPr>
            <w:tcW w:type="dxa" w:w="510"/>
            <w:shd w:val="clear" w:color="auto" w:fill="EEF3F4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134"/>
            <w:shd w:val="clear" w:color="auto" w:fill="EEF3F4"/>
          </w:tcPr>
          <w:p>
            <w:r/>
            <w:r>
              <w:rPr>
                <w:sz w:val="20"/>
              </w:rPr>
              <w:t>Acción</w:t>
            </w:r>
          </w:p>
        </w:tc>
        <w:tc>
          <w:tcPr>
            <w:tcW w:type="dxa" w:w="3572"/>
            <w:shd w:val="clear" w:color="auto" w:fill="EEF3F4"/>
          </w:tcPr>
          <w:p>
            <w:r/>
            <w:r>
              <w:rPr>
                <w:sz w:val="20"/>
              </w:rPr>
              <w:t>Primero desbridamiento con muestras profundas: 5 o más, instrumento limpio por muestra, sin hisopo ni piel [r4]</w:t>
            </w:r>
          </w:p>
        </w:tc>
        <w:tc>
          <w:tcPr>
            <w:tcW w:type="dxa" w:w="4195"/>
            <w:shd w:val="clear" w:color="auto" w:fill="EEF3F4"/>
          </w:tcPr>
          <w:p>
            <w:r/>
            <w:r>
              <w:rPr>
                <w:sz w:val="20"/>
              </w:rPr>
              <w:t>continuar → Empírico: glucopéptido o lipopéptido más cobertura de Gram negativos, ajustado al antibiograma local [r2]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Acción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Empírico: glucopéptido o lipopéptido más cobertura de Gram negativos, ajustado al antibiograma local [r2]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cultivo listo → ¿El germen es un comensal (SCN o C. acnes) en 1 sola muestra? [r12]</w:t>
            </w:r>
          </w:p>
        </w:tc>
      </w:tr>
      <w:tr>
        <w:tc>
          <w:tcPr>
            <w:tcW w:type="dxa" w:w="510"/>
            <w:shd w:val="clear" w:color="auto" w:fill="EEF3F4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1134"/>
            <w:shd w:val="clear" w:color="auto" w:fill="EEF3F4"/>
          </w:tcPr>
          <w:p>
            <w:r/>
            <w:r>
              <w:rPr>
                <w:sz w:val="20"/>
              </w:rPr>
              <w:t>Decisión</w:t>
            </w:r>
          </w:p>
        </w:tc>
        <w:tc>
          <w:tcPr>
            <w:tcW w:type="dxa" w:w="3572"/>
            <w:shd w:val="clear" w:color="auto" w:fill="EEF3F4"/>
          </w:tcPr>
          <w:p>
            <w:r/>
            <w:r>
              <w:rPr>
                <w:sz w:val="20"/>
              </w:rPr>
              <w:t>¿El germen es un comensal (SCN o C. acnes) en 1 sola muestra? [r12]</w:t>
            </w:r>
          </w:p>
        </w:tc>
        <w:tc>
          <w:tcPr>
            <w:tcW w:type="dxa" w:w="4195"/>
            <w:shd w:val="clear" w:color="auto" w:fill="EEF3F4"/>
          </w:tcPr>
          <w:p>
            <w:r/>
            <w:r>
              <w:rPr>
                <w:sz w:val="20"/>
              </w:rPr>
              <w:t>sí → No confirma: revisa clínica, histología y número de muestras antes de tratar como infección [r12]; no → Dirige: MSSA con betalactámico; MRSA o SCN resistente con glucopéptido; Pseudomonas con betalactámico antipseudomonas; hongo con antifúngico y retiro del material [r2]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Acción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No confirma: revisa clínica, histología y número de muestras antes de tratar como infección [r12]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continuar → ¿Infección confirmada con cultivo negativo?</w:t>
            </w:r>
          </w:p>
        </w:tc>
      </w:tr>
      <w:tr>
        <w:tc>
          <w:tcPr>
            <w:tcW w:type="dxa" w:w="510"/>
            <w:shd w:val="clear" w:color="auto" w:fill="EEF3F4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1134"/>
            <w:shd w:val="clear" w:color="auto" w:fill="EEF3F4"/>
          </w:tcPr>
          <w:p>
            <w:r/>
            <w:r>
              <w:rPr>
                <w:sz w:val="20"/>
              </w:rPr>
              <w:t>Acción</w:t>
            </w:r>
          </w:p>
        </w:tc>
        <w:tc>
          <w:tcPr>
            <w:tcW w:type="dxa" w:w="3572"/>
            <w:shd w:val="clear" w:color="auto" w:fill="EEF3F4"/>
          </w:tcPr>
          <w:p>
            <w:r/>
            <w:r>
              <w:rPr>
                <w:sz w:val="20"/>
              </w:rPr>
              <w:t>Dirige: MSSA con betalactámico; MRSA o SCN resistente con glucopéptido; Pseudomonas con betalactámico antipseudomonas; hongo con antifúngico y retiro del material [r2]</w:t>
            </w:r>
          </w:p>
        </w:tc>
        <w:tc>
          <w:tcPr>
            <w:tcW w:type="dxa" w:w="4195"/>
            <w:shd w:val="clear" w:color="auto" w:fill="EEF3F4"/>
          </w:tcPr>
          <w:p>
            <w:r/>
            <w:r>
              <w:rPr>
                <w:sz w:val="20"/>
              </w:rPr>
              <w:t>continuar → ¿El implante se queda?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Decisión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¿El implante se queda?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sí → Añade antibiofilm tras controlar la herida (rifampicina más fluoroquinolona para estafilococo; fluoroquinolona para Gram negativo) y completa 12 semanas [r2]; no → Con el implante retirado: pasa a vía oral cuando sea posible y completa 6 semanas desde el retiro [r2][r1]</w:t>
            </w:r>
          </w:p>
        </w:tc>
      </w:tr>
      <w:tr>
        <w:tc>
          <w:tcPr>
            <w:tcW w:type="dxa" w:w="510"/>
            <w:shd w:val="clear" w:color="auto" w:fill="EEF3F4"/>
          </w:tcPr>
          <w:p>
            <w:r/>
            <w:r>
              <w:rPr>
                <w:sz w:val="20"/>
              </w:rPr>
              <w:t>10</w:t>
            </w:r>
          </w:p>
        </w:tc>
        <w:tc>
          <w:tcPr>
            <w:tcW w:type="dxa" w:w="1134"/>
            <w:shd w:val="clear" w:color="auto" w:fill="EEF3F4"/>
          </w:tcPr>
          <w:p>
            <w:r/>
            <w:r>
              <w:rPr>
                <w:sz w:val="20"/>
              </w:rPr>
              <w:t>Acción</w:t>
            </w:r>
          </w:p>
        </w:tc>
        <w:tc>
          <w:tcPr>
            <w:tcW w:type="dxa" w:w="3572"/>
            <w:shd w:val="clear" w:color="auto" w:fill="EEF3F4"/>
          </w:tcPr>
          <w:p>
            <w:r/>
            <w:r>
              <w:rPr>
                <w:sz w:val="20"/>
              </w:rPr>
              <w:t>Añade antibiofilm tras controlar la herida (rifampicina más fluoroquinolona para estafilococo; fluoroquinolona para Gram negativo) y completa 12 semanas [r2]</w:t>
            </w:r>
          </w:p>
        </w:tc>
        <w:tc>
          <w:tcPr>
            <w:tcW w:type="dxa" w:w="4195"/>
            <w:shd w:val="clear" w:color="auto" w:fill="EEF3F4"/>
          </w:tcPr>
          <w:p>
            <w:r/>
            <w:r>
              <w:rPr>
                <w:sz w:val="20"/>
              </w:rPr>
              <w:t>continuar → ¿Infección confirmada con cultivo negativo?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20"/>
              </w:rPr>
              <w:t>11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Acción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Con el implante retirado: pasa a vía oral cuando sea posible y completa 6 semanas desde el retiro [r2][r1]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continuar → ¿Infección confirmada con cultivo negativo?</w:t>
            </w:r>
          </w:p>
        </w:tc>
      </w:tr>
      <w:tr>
        <w:tc>
          <w:tcPr>
            <w:tcW w:type="dxa" w:w="510"/>
            <w:shd w:val="clear" w:color="auto" w:fill="EEF3F4"/>
          </w:tcPr>
          <w:p>
            <w:r/>
            <w:r>
              <w:rPr>
                <w:sz w:val="20"/>
              </w:rPr>
              <w:t>12</w:t>
            </w:r>
          </w:p>
        </w:tc>
        <w:tc>
          <w:tcPr>
            <w:tcW w:type="dxa" w:w="1134"/>
            <w:shd w:val="clear" w:color="auto" w:fill="EEF3F4"/>
          </w:tcPr>
          <w:p>
            <w:r/>
            <w:r>
              <w:rPr>
                <w:sz w:val="20"/>
              </w:rPr>
              <w:t>Decisión</w:t>
            </w:r>
          </w:p>
        </w:tc>
        <w:tc>
          <w:tcPr>
            <w:tcW w:type="dxa" w:w="3572"/>
            <w:shd w:val="clear" w:color="auto" w:fill="EEF3F4"/>
          </w:tcPr>
          <w:p>
            <w:r/>
            <w:r>
              <w:rPr>
                <w:sz w:val="20"/>
              </w:rPr>
              <w:t>¿Infección confirmada con cultivo negativo?</w:t>
            </w:r>
          </w:p>
        </w:tc>
        <w:tc>
          <w:tcPr>
            <w:tcW w:type="dxa" w:w="4195"/>
            <w:shd w:val="clear" w:color="auto" w:fill="EEF3F4"/>
          </w:tcPr>
          <w:p>
            <w:r/>
            <w:r>
              <w:rPr>
                <w:sz w:val="20"/>
              </w:rPr>
              <w:t>sí → Considera sonicado o PCR, cubre los gérmenes más probables y consulta infectología [r2]; no → Seguimiento clínico y de laboratorio; revisa si no mejora (colección sin drenar, germen no cubierto, antibiótico sin biofilm)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20"/>
              </w:rPr>
              <w:t>13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Acción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Considera sonicado o PCR, cubre los gérmenes más probables y consulta infectología [r2]</w:t>
            </w:r>
          </w:p>
        </w:tc>
        <w:tc>
          <w:tcPr>
            <w:tcW w:type="dxa" w:w="4195"/>
          </w:tcPr>
          <w:p>
            <w:r/>
            <w:r>
              <w:rPr>
                <w:sz w:val="20"/>
              </w:rPr>
              <w:t>continuar → Seguimiento clínico y de laboratorio; revisa si no mejora (colección sin drenar, germen no cubierto, antibiótico sin biofilm)</w:t>
            </w:r>
          </w:p>
        </w:tc>
      </w:tr>
      <w:tr>
        <w:tc>
          <w:tcPr>
            <w:tcW w:type="dxa" w:w="510"/>
            <w:shd w:val="clear" w:color="auto" w:fill="EEF3F4"/>
          </w:tcPr>
          <w:p>
            <w:r/>
            <w:r>
              <w:rPr>
                <w:sz w:val="20"/>
              </w:rPr>
              <w:t>14</w:t>
            </w:r>
          </w:p>
        </w:tc>
        <w:tc>
          <w:tcPr>
            <w:tcW w:type="dxa" w:w="1134"/>
            <w:shd w:val="clear" w:color="auto" w:fill="EEF3F4"/>
          </w:tcPr>
          <w:p>
            <w:r/>
            <w:r>
              <w:rPr>
                <w:sz w:val="20"/>
              </w:rPr>
              <w:t>Fin</w:t>
            </w:r>
          </w:p>
        </w:tc>
        <w:tc>
          <w:tcPr>
            <w:tcW w:type="dxa" w:w="3572"/>
            <w:shd w:val="clear" w:color="auto" w:fill="EEF3F4"/>
          </w:tcPr>
          <w:p>
            <w:r/>
            <w:r>
              <w:rPr>
                <w:sz w:val="20"/>
              </w:rPr>
              <w:t>Seguimiento clínico y de laboratorio; revisa si no mejora (colección sin drenar, germen no cubierto, antibiótico sin biofilm)</w:t>
            </w:r>
          </w:p>
        </w:tc>
        <w:tc>
          <w:tcPr>
            <w:tcW w:type="dxa" w:w="4195"/>
            <w:shd w:val="clear" w:color="auto" w:fill="EEF3F4"/>
          </w:tcPr>
          <w:p>
            <w:r/>
            <w:r>
              <w:rPr>
                <w:sz w:val="20"/>
              </w:rPr>
              <w:t>—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[r4] </w:t>
      </w:r>
      <w:r>
        <w:rPr>
          <w:sz w:val="18"/>
        </w:rPr>
        <w:t xml:space="preserve">Govaert GAM, Kuehl R, Atkins BL, Trampuz A, Morgenstern M, Obremskey WT, et al. Diagnosing Fracture-Related Infection: Current Concepts and Recommendations. J Orthop Trauma. 2020;34(1):8-17. </w:t>
      </w:r>
      <w:r>
        <w:rPr>
          <w:i/>
          <w:color w:val="5A6469"/>
          <w:sz w:val="17"/>
        </w:rPr>
        <w:t xml:space="preserve">(guia · acceso abierto) </w:t>
      </w:r>
      <w:hyperlink r:id="rId42">
        <w:r>
          <w:rPr>
            <w:color w:val="0563C1"/>
            <w:u w:val="single"/>
            <w:sz w:val="18"/>
          </w:rPr>
          <w:t xml:space="preserve">https://doi.org/10.1097/BOT.0000000000001614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pStyle w:val="Heading1"/>
      </w:pPr>
      <w:r>
        <w:t>Tratamiento: cirugía, vía, duración y la pareja de antibióticos</w:t>
      </w:r>
    </w:p>
    <w:p>
      <w:r>
        <w:rPr>
          <w:b/>
        </w:rPr>
        <w:t>La cirugía es parte del tratamiento.</w:t>
      </w:r>
      <w:r>
        <w:rPr/>
        <w:t xml:space="preserve"> No hay ensayos aleatorizados de estrategia quirúrgica en FRI, pero el consenso pide desbridar pronto: con menos bacterias en el foco el antibiótico rinde más y es menos probable seleccionar resistencia [r2]. Para MRSA, la guía británica pide abordaje multidisciplinario con cirugía o drenaje cuando corresponda [r3].</w:t>
      </w:r>
    </w:p>
    <w:p>
      <w:r>
        <w:rPr>
          <w:b/>
        </w:rPr>
        <w:t>2 conceptos quirúrgicos ordenan el antibiótico.</w:t>
      </w:r>
      <w:r>
        <w:rPr/>
        <w:t xml:space="preserve"> El primero es DAIR (desbridamiento, antibiótico y retención del implante); el segundo, retiro o recambio del implante en 1 o 2 tiempos [r2]. En infección protésica temprana (primeras 6 semanas), una revisión sistemática de 14 estudios y 710 pacientes dio éxito de 46 % con 1 desbridamiento y de 52 % con varios [r16]. Zimmerli propuso reservar el DAIR para casos con menos de 3 semanas de síntomas, implante estable, buenos tejidos blandos y germen sensible a rifampicina o quinolona [r16].</w:t>
      </w:r>
    </w:p>
    <w:p>
      <w:r>
        <w:rPr>
          <w:b/>
        </w:rPr>
        <w:t>Oral o intravenoso.</w:t>
      </w:r>
      <w:r>
        <w:rPr/>
        <w:t xml:space="preserve"> OVIVA comparó la vía oral con la intravenosa durante las primeras 6 semanas en 1054 adultos: el fracaso a 1 año fue 13,2 % con oral y 14,6 % con intravenoso, una diferencia de -1,4 puntos con margen de no inferioridad de 7,5 [r1]. Las complicaciones del catéter fueron 9,4 % con IV y 1,0 % con oral [r1], y los eventos adversos graves, 27,7 % con IV y 26,2 % con oral [r1]. Con el implante retirado, el consenso recomienda IV empírico solo hasta tener cultivo y luego un oral biodisponible hasta completar 6 semanas desde el retiro [r2].</w:t>
      </w:r>
    </w:p>
    <w:p>
      <w:r>
        <w:rPr>
          <w:b/>
        </w:rPr>
        <w:t>Duración con implante retenido.</w:t>
      </w:r>
      <w:r>
        <w:rPr/>
        <w:t xml:space="preserve"> Si es posible un antibiótico activo en biofilm, el consenso propone 12 semanas en total [r2]. En DATIPO (410 pacientes con infección protésica), la infección persistente fue 18,1 % con 6 semanas y 9,4 % con 12, y no se demostró no inferioridad [r37]. En la osteomielitis vertebral piógena (359 pacientes), 6 semanas fueron no inferiores a 12, con cura de 90,9 % en ambos grupos [r38]. Para MRSA, la guía británica sugiere al menos 4 semanas en artritis séptica y 6 semanas en osteomielitis [r3].</w:t>
      </w:r>
    </w:p>
    <w:p>
      <w:r>
        <w:rPr>
          <w:b/>
        </w:rPr>
        <w:t>Rifampicina: qué sabemos.</w:t>
      </w:r>
      <w:r>
        <w:rPr/>
        <w:t xml:space="preserve"> En implante estable, síntomas cortos y desbridamiento inicial, el ensayo de Zimmerli curó 12 de 12 con ciprofloxacino más rifampicina frente a 7 de 12 con ciprofloxacino y placebo (P = 0,02) [r39]; fueron solo 33 pacientes y 9 abandonaron [r39]. La guía IDSA 2013 recomienda rifampicina combinada durante 3 a 6 meses tras el DAIR con grado A1, que en esa escala significa respaldo de al menos 1 ensayo aleatorizado adecuado [r16], y se ha criticado porque no existen ensayos bien diseñados que la apoyen [r16]. Un metaanálisis de 62 estudios, casi todos observacionales, dio un RR de éxito de 1,10 (IC 95 % 1,00-1,22) [r21]. En bacteriemia por S. aureus no sirvió: ARREST (758 pacientes) no mostró beneficio y causó más eventos adversos que obligaron a cambiar el tratamiento (17 % frente a 10 %) [r22].</w:t>
      </w:r>
    </w:p>
    <w:p>
      <w:r>
        <w:rPr>
          <w:b/>
        </w:rPr>
        <w:t>Rifampicina: cómo se usa.</w:t>
      </w:r>
      <w:r>
        <w:rPr/>
        <w:t xml:space="preserve"> Dosis oral de 300-450 mg 2 veces al día o 600-900 mg una vez al día, desde que la herida está sellada tras el desbridamiento [r2]. Nunca sola, porque selecciona resistencia rápido [r2]. En una cohorte, iniciarla dentro de los primeros 5 días del desbridamiento se asoció a más fracaso (40,8 % frente a 20,9 %) y un curso menor de 14 días también falló más [r21]; son hallazgos observacionales que piden confirmación.</w:t>
      </w:r>
    </w:p>
    <w:p>
      <w:r>
        <w:rPr>
          <w:b/>
        </w:rPr>
        <w:t>La pareja de la rifampicina.</w:t>
      </w:r>
      <w:r>
        <w:rPr/>
        <w:t xml:space="preserve"> El consenso de FRI da como primera opción una fluoroquinolona; segunda línea, TMP-SMX en dosis alta (960 mg cada 8 h), doxiciclina o minociclina, o ácido fusídico [r2]. Linezolid solo es una alternativa en monoterapia; con rifampicina, esta puede bajar los niveles de linezolid [r2]. Clindamicina con rifampicina es controvertida por la interacción en el citocromo [r2]. Las fluoroquinolonas solas no se recomiendan contra estafilococos por la rápida resistencia [r2].</w:t>
      </w:r>
    </w:p>
    <w:p>
      <w:r>
        <w:rPr>
          <w:b/>
        </w:rPr>
        <w:t>Vancomicina: valle o AUC.</w:t>
      </w:r>
      <w:r>
        <w:rPr/>
        <w:t xml:space="preserve"> La guía británica usa valles de 15-20 mg/L [r3]. El consenso estadounidense de 2020 prefiere una relación AUC/MIC de 400-600 mg·h/L (suponiendo CIM de 1 mg/L) porque el valle se asocia a más nefrotoxicidad [r40].</w:t>
      </w:r>
    </w:p>
    <w:p>
      <w:r>
        <w:rPr>
          <w:b/>
        </w:rPr>
        <w:t>Empírico mientras llega el cultivo.</w:t>
      </w:r>
      <w:r>
        <w:rPr/>
        <w:t xml:space="preserve"> El consenso de FRI propone un glucopéptido o lipopéptido más un agente contra Gram negativos [r2]. Cubrir Gram negativos a todos tiene un costo en efectos adversos, resistencia y precio, según los autores de un estudio de 281 infecciones protésicas, donde 18 % fue por Gram negativos y 68 % recibió cobertura empírica contra ellos [r31].</w:t>
      </w:r>
    </w:p>
    <w:p>
      <w:r>
        <w:rPr>
          <w:b/>
        </w:rPr>
        <w:t>Betalactámico para MSSA.</w:t>
      </w:r>
      <w:r>
        <w:rPr/>
        <w:t xml:space="preserve"> El consenso de FRI usa flucloxacilina IV, 2 g cada 6 horas [r2]. La cefazolina cambió de lugar: fue no inferior en bacteriemia por MSSA (CloCeBa: 75 % frente a 74 %; SNAP: mortalidad a 90 días 15,0 % frente a 17,0 %), con menos lesión renal aguda [r41][r23]. Para hueso y prótesis falta evidencia directa y preocupa el efecto inóculo [r24].</w:t>
      </w:r>
    </w:p>
    <w:p>
      <w:pPr>
        <w:keepNext/>
      </w:pPr>
      <w:r>
        <w:rPr>
          <w:b/>
          <w:color w:val="0F5F6B"/>
          <w:sz w:val="20"/>
        </w:rPr>
        <w:t>Tabla 5. Tratamiento dirigido de la infección con implante según el germen (consenso de FRI)</w:t>
      </w:r>
      <w:r>
        <w:rPr>
          <w:color w:val="5A6469"/>
          <w:sz w:val="18"/>
        </w:rPr>
        <w:t xml:space="preserve">  [r2] [r21]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Germen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Primera elección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Pareja oral o alternativa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Advertencias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MSSA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Flucloxacilina IV, 2 g cada 6 h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Rifampicina más fluoroquinolona; 2ª línea TMP-SMX 960 mg cada 8 h, doxiciclina o minociclina, ácido fusídico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Rifampicina solo con herida sellada; control hepático 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MRSA y SCN meticilino resistente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Vancomicina IV (valle 15-20 mg/L); daptomicina si hay alergia [r2]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Rifampicina combinada; linezolid como alternativa [r2]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Glucopéptidos y daptomicina solos curan poco en implante (modelo experimental); linezolid exige hemograma y lactato semanales [r2]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Estreptococos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Penicilina IV hasta 1 semana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Amoxicilina oral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La rifampicina no actúa sobre su biofilm 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Enterobacterales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Betalactámico según antibiograma [r2]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Fluoroquinolona oral con herida seca; TMP-SMX 800/160 mg cada 8 h si hay resistencia [r2]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La quinolona solo tras desbridar; TMP-SMX es supresor, no curativo [r2]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P. aeruginosa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Piperacilina-tazobactam, cefepima, ceftazidima o carbapenem (no ertapenem)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Aminoglucósido 2 a 5 días opcional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Sin quinolona al inicio; tigeciclina no sirve 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C. acnes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Bencilpenicilina o ceftriaxona [r2]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Rifampicina con amoxicilina, doxiciclina o quinolona [r2]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Evidencia de rifampicina insuficiente para recomendaciones firmes [r21]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Candida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Equinocandina y retiro del material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Fluconazol oral si es sensible [r2]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Hasta consolidar la fractura y poder quitar el implante [r2]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Tabla 6. Los ensayos que cambian la práctica</w:t>
      </w:r>
      <w:r>
        <w:rPr>
          <w:color w:val="5A6469"/>
          <w:sz w:val="18"/>
        </w:rPr>
        <w:t xml:space="preserve">  [r1] [r22] [r23] [r24] [r37] [r38] [r39] [r41]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Estudio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Diseño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Resultado principal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Qué cambia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OVIVA 2019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ECA, 1054 adultos con infección ósea o articular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Fracaso a 1 año 13,2 % oral y 14,6 % IV [r1]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Pasa a oral cuando haya fármaco biodisponible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Zimmerli 1998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ECA, 33 pacientes con implante estable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Cura 12 de 12 frente a 7 de 12 [r39]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Rifampicina con quinolona en implante retenido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ARREST 2018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ECA, 758 pacientes con bacteriemia por S. aureus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Falla, recaída o muerte 17 % frente a 18 % [r22]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Sin rifampicina adyuvante en bacteriemia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DATIPO 2021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ECA, 410 pacientes con infección protésica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Infección persistente 18,1 % con 6 semanas y 9,4 % con 12 [r37]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12 semanas como referencia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Bernard 2015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ECA, 359 pacientes con osteomielitis vertebral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Cura 90,9 % con 6 y con 12 semanas [r38]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6 semanas bastan en osteomielitis vertebral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CloCeBa 2025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ECA, 315 pacientes con bacteriemia por MSSA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Desenlace compuesto favorable 75 % con cefazolina y 74 % con cloxacilina [r41]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Cefazolina como alternativa en bacteriemia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SNAP 2026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ECA adaptativo, bacteriemia por MSSA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Mortalidad a 90 días 15,0 % y 17,0 % [r23]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Cefazolina no inferior; falta análisis en hueso [r24]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Figura 5. Fracaso a 1 año: vía oral frente a intravenosa en infección ósea y articular (OVIVA)</w:t>
      </w:r>
      <w:r>
        <w:rPr>
          <w:color w:val="5A6469"/>
          <w:sz w:val="18"/>
        </w:rPr>
        <w:t xml:space="preserve">  [r1]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5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6. Curación con ciprofloxacino más rifampicina o placebo en implante estable (Zimmerli, n = 24 evaluables)</w:t>
      </w:r>
      <w:r>
        <w:rPr>
          <w:color w:val="5A6469"/>
          <w:sz w:val="18"/>
        </w:rPr>
        <w:t xml:space="preserve">  [r39]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6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7. Falla, recaída o muerte a 12 semanas en bacteriemia por S. aureus (ARREST)</w:t>
      </w:r>
      <w:r>
        <w:rPr>
          <w:color w:val="5A6469"/>
          <w:sz w:val="18"/>
        </w:rPr>
        <w:t xml:space="preserve">  [r22]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7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8. Infección persistente a 2 años en infección protésica (DATIPO)</w:t>
      </w:r>
      <w:r>
        <w:rPr>
          <w:color w:val="5A6469"/>
          <w:sz w:val="18"/>
        </w:rPr>
        <w:t xml:space="preserve">  [r37]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8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9. Lesión renal aguda en bacteriemia por MSSA: cefazolina frente a penicilina antiestafilocócica (SNAP)</w:t>
      </w:r>
      <w:r>
        <w:rPr>
          <w:color w:val="5A6469"/>
          <w:sz w:val="18"/>
        </w:rPr>
        <w:t xml:space="preserve">  [r23]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9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[r3] </w:t>
      </w:r>
      <w:r>
        <w:rPr>
          <w:sz w:val="18"/>
        </w:rPr>
        <w:t xml:space="preserve">Brown NM, Goodman AL, Horner C, Jenkins A, Brown EM. Treatment of methicillin-resistant Staphylococcus aureus (MRSA): updated guidelines from the UK. JAC Antimicrob Resist. 2021;3(1):dlaa114. </w:t>
      </w:r>
      <w:r>
        <w:rPr>
          <w:i/>
          <w:color w:val="5A6469"/>
          <w:sz w:val="17"/>
        </w:rPr>
        <w:t xml:space="preserve">(guia · acceso abierto) </w:t>
      </w:r>
      <w:hyperlink r:id="rId31">
        <w:r>
          <w:rPr>
            <w:color w:val="0563C1"/>
            <w:u w:val="single"/>
            <w:sz w:val="18"/>
          </w:rPr>
          <w:t xml:space="preserve">https://doi.org/10.1093/jacamr/dlaa114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[r16] </w:t>
      </w:r>
      <w:r>
        <w:rPr>
          <w:sz w:val="18"/>
        </w:rPr>
        <w:t xml:space="preserve">Tong SY, Davis JS, Eichenberger E, Holland TL, Fowler VG Jr. Staphylococcus aureus infections: epidemiology, pathophysiology, clinical manifestations, and management. Clin Microbiol Rev. 2015;28(3):603-61. </w:t>
      </w:r>
      <w:r>
        <w:rPr>
          <w:i/>
          <w:color w:val="5A6469"/>
          <w:sz w:val="17"/>
        </w:rPr>
        <w:t xml:space="preserve">(revision · acceso abierto) </w:t>
      </w:r>
      <w:hyperlink r:id="rId11">
        <w:r>
          <w:rPr>
            <w:color w:val="0563C1"/>
            <w:u w:val="single"/>
            <w:sz w:val="18"/>
          </w:rPr>
          <w:t xml:space="preserve">https://doi.org/10.1128/CMR.00134-14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[r22] </w:t>
      </w:r>
      <w:r>
        <w:rPr>
          <w:sz w:val="18"/>
        </w:rPr>
        <w:t xml:space="preserve">Thwaites GE, Scarborough M, Szubert A, Nsutebu E, Tilley R, Greig J, et al. Adjunctive rifampicin for Staphylococcus aureus bacteraemia (ARREST): a multicentre, randomised, double-blind, placebo-controlled trial. Lancet. 2018;391(10121):668-678. </w:t>
      </w:r>
      <w:r>
        <w:rPr>
          <w:i/>
          <w:color w:val="5A6469"/>
          <w:sz w:val="17"/>
        </w:rPr>
        <w:t xml:space="preserve">(ECA · acceso resumen) </w:t>
      </w:r>
      <w:hyperlink r:id="rId53">
        <w:r>
          <w:rPr>
            <w:color w:val="0563C1"/>
            <w:u w:val="single"/>
            <w:sz w:val="18"/>
          </w:rPr>
          <w:t xml:space="preserve">https://doi.org/10.1016/S0140-6736(17)32456-X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[r23] </w:t>
      </w:r>
      <w:r>
        <w:rPr>
          <w:sz w:val="18"/>
        </w:rPr>
        <w:t xml:space="preserve">Staphylococcus aureus Network Adaptive Platform (SNAP) Trial Group; Lee TC, Barina LA, Walls G, Goodman AL, Yahav D, Cheng MP, et al. Cefazolin for Methicillin-Susceptible Staphylococcus aureus Bacteremia. N Engl J Med. 2026;394(23):2329-2339. </w:t>
      </w:r>
      <w:r>
        <w:rPr>
          <w:i/>
          <w:color w:val="5A6469"/>
          <w:sz w:val="17"/>
        </w:rPr>
        <w:t xml:space="preserve">(ECA · acceso resumen) </w:t>
      </w:r>
      <w:hyperlink r:id="rId54">
        <w:r>
          <w:rPr>
            <w:color w:val="0563C1"/>
            <w:u w:val="single"/>
            <w:sz w:val="18"/>
          </w:rPr>
          <w:t xml:space="preserve">https://doi.org/10.1056/NEJMoa2506905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[r24] </w:t>
      </w:r>
      <w:r>
        <w:rPr>
          <w:sz w:val="18"/>
        </w:rPr>
        <w:t xml:space="preserve">Werneburg F, Beschauner J, Werneburg LI, Zeh A, Gutteck N, Delank KS. Cefazolin Versus Antistaphylococcal Penicillins in Methicillin-Susceptible Staphylococcus aureus Bone and Joint Infections: A Narrative Review. Antibiotics (Basel). 2026;15(9):930. </w:t>
      </w:r>
      <w:r>
        <w:rPr>
          <w:i/>
          <w:color w:val="5A6469"/>
          <w:sz w:val="17"/>
        </w:rPr>
        <w:t xml:space="preserve">(revision · acceso abierto) </w:t>
      </w:r>
      <w:hyperlink r:id="rId34">
        <w:r>
          <w:rPr>
            <w:color w:val="0563C1"/>
            <w:u w:val="single"/>
            <w:sz w:val="18"/>
          </w:rPr>
          <w:t xml:space="preserve">https://doi.org/10.3390/antibiotics15090930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[r31] </w:t>
      </w:r>
      <w:r>
        <w:rPr>
          <w:sz w:val="18"/>
        </w:rPr>
        <w:t xml:space="preserve">Tedeschi S, Fernandez-Sampedro M, Zamparini E, Rossi N, Ferraro G, Pecorelli A, et al. Gram-negative aetiology in hip and knee prosthetic joint infections: risk factors and implications for empirical antibiotic therapy-a retrospective cohort study. JAC Antimicrob Resist. 2026;8(5):dlag206. </w:t>
      </w:r>
      <w:r>
        <w:rPr>
          <w:i/>
          <w:color w:val="5A6469"/>
          <w:sz w:val="17"/>
        </w:rPr>
        <w:t xml:space="preserve">(cohorte · acceso abierto) </w:t>
      </w:r>
      <w:hyperlink r:id="rId28">
        <w:r>
          <w:rPr>
            <w:color w:val="0563C1"/>
            <w:u w:val="single"/>
            <w:sz w:val="18"/>
          </w:rPr>
          <w:t xml:space="preserve">https://doi.org/10.1093/jacamr/dlag206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[r37] </w:t>
      </w:r>
      <w:r>
        <w:rPr>
          <w:sz w:val="18"/>
        </w:rPr>
        <w:t xml:space="preserve">Bernard L, Arvieux C, Brunschweiler B, Touchais S, Ansart S, Bru JP, et al. Antibiotic Therapy for 6 or 12 Weeks for Prosthetic Joint Infection. N Engl J Med. 2021;384(21):1991-2001. </w:t>
      </w:r>
      <w:r>
        <w:rPr>
          <w:i/>
          <w:color w:val="5A6469"/>
          <w:sz w:val="17"/>
        </w:rPr>
        <w:t xml:space="preserve">(ECA · acceso resumen) </w:t>
      </w:r>
      <w:hyperlink r:id="rId55">
        <w:r>
          <w:rPr>
            <w:color w:val="0563C1"/>
            <w:u w:val="single"/>
            <w:sz w:val="18"/>
          </w:rPr>
          <w:t xml:space="preserve">https://doi.org/10.1056/NEJMoa2020198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[r38] </w:t>
      </w:r>
      <w:r>
        <w:rPr>
          <w:sz w:val="18"/>
        </w:rPr>
        <w:t xml:space="preserve">Bernard L, Dinh A, Ghout I, Simo D, Zeller V, Issartel B, et al. Antibiotic treatment for 6 weeks versus 12 weeks in patients with pyogenic vertebral osteomyelitis: an open-label, non-inferiority, randomised, controlled trial. Lancet. 2015;385(9971):875-82. </w:t>
      </w:r>
      <w:r>
        <w:rPr>
          <w:i/>
          <w:color w:val="5A6469"/>
          <w:sz w:val="17"/>
        </w:rPr>
        <w:t xml:space="preserve">(ECA · acceso resumen) </w:t>
      </w:r>
      <w:hyperlink r:id="rId56">
        <w:r>
          <w:rPr>
            <w:color w:val="0563C1"/>
            <w:u w:val="single"/>
            <w:sz w:val="18"/>
          </w:rPr>
          <w:t xml:space="preserve">https://doi.org/10.1016/S0140-6736(14)61233-2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[r39] </w:t>
      </w:r>
      <w:r>
        <w:rPr>
          <w:sz w:val="18"/>
        </w:rPr>
        <w:t xml:space="preserve">Zimmerli W, Widmer AF, Blatter M, Frei R, Ochsner PE. Role of rifampin for treatment of orthopedic implant-related staphylococcal infections: a randomized controlled trial. Foreign-Body Infection (FBI) Study Group. JAMA. 1998;279(19):1537-41. </w:t>
      </w:r>
      <w:r>
        <w:rPr>
          <w:i/>
          <w:color w:val="5A6469"/>
          <w:sz w:val="17"/>
        </w:rPr>
        <w:t xml:space="preserve">(ECA · acceso resumen) </w:t>
      </w:r>
      <w:hyperlink r:id="rId57">
        <w:r>
          <w:rPr>
            <w:color w:val="0563C1"/>
            <w:u w:val="single"/>
            <w:sz w:val="18"/>
          </w:rPr>
          <w:t xml:space="preserve">https://doi.org/10.1001/jama.279.19.1537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[r40] </w:t>
      </w:r>
      <w:r>
        <w:rPr>
          <w:sz w:val="18"/>
        </w:rPr>
        <w:t xml:space="preserve">Rybak MJ, Le J, Lodise TP, Levine DP, Bradley JS, Liu C, et al. Therapeutic Monitoring of Vancomycin for Serious Methicillin-resistant Staphylococcus aureus Infections: A Revised Consensus Guideline and Review by the American Society of Health-system Pharmacists, the Infectious Diseases Society of America, the Pediatric Infectious Diseases Society, and the Society of Infectious Diseases Pharmacists. Clin Infect Dis. 2020;71(6):1361-1364. </w:t>
      </w:r>
      <w:r>
        <w:rPr>
          <w:i/>
          <w:color w:val="5A6469"/>
          <w:sz w:val="17"/>
        </w:rPr>
        <w:t xml:space="preserve">(guia · acceso resumen) </w:t>
      </w:r>
      <w:hyperlink r:id="rId58">
        <w:r>
          <w:rPr>
            <w:color w:val="0563C1"/>
            <w:u w:val="single"/>
            <w:sz w:val="18"/>
          </w:rPr>
          <w:t xml:space="preserve">https://doi.org/10.1093/cid/ciaa303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[r41] </w:t>
      </w:r>
      <w:r>
        <w:rPr>
          <w:sz w:val="18"/>
        </w:rPr>
        <w:t xml:space="preserve">Burdet C, Saïdani N, Dupieux C, Lemaignen A, Canouï E, Surgers L, et al. Cloxacillin versus cefazolin for meticillin-susceptible Staphylococcus aureus bacteraemia (CloCeBa): a prospective, open-label, multicentre, non-inferiority, randomised clinical trial. Lancet. 2025;406(10517):2349-2359. </w:t>
      </w:r>
      <w:r>
        <w:rPr>
          <w:i/>
          <w:color w:val="5A6469"/>
          <w:sz w:val="17"/>
        </w:rPr>
        <w:t xml:space="preserve">(ECA · acceso resumen) </w:t>
      </w:r>
      <w:hyperlink r:id="rId59">
        <w:r>
          <w:rPr>
            <w:color w:val="0563C1"/>
            <w:u w:val="single"/>
            <w:sz w:val="18"/>
          </w:rPr>
          <w:t xml:space="preserve">https://doi.org/10.1016/S0140-6736(25)01624-1</w:t>
        </w:r>
      </w:hyperlink>
    </w:p>
    <w:p>
      <w:pPr>
        <w:pStyle w:val="Heading1"/>
      </w:pPr>
      <w:r>
        <w:t>Técnica: tomar las muestras en quirófano para que el cultivo valga</w:t>
      </w:r>
    </w:p>
    <w:p>
      <w:r>
        <w:rPr/>
        <w:t>Esta técnica es apoyo de estudio y no sustituye al tutor ni al protocolo de tu laboratorio. Lo que no tiene estudio va rotulado como práctica habitual u opinión experta.</w:t>
      </w:r>
    </w:p>
    <w:p>
      <w:r>
        <w:rPr>
          <w:b/>
        </w:rPr>
        <w:t>Por qué importa.</w:t>
      </w:r>
      <w:r>
        <w:rPr/>
        <w:t xml:space="preserve"> Los falsos negativos microbiológicos llegan a 35 % en FRI con clínica manifiesta [r20], y las causas más repetidas son antibiótico previo, pocas muestras y muestras mal ubicadas [r2]. La buena técnica de muestreo aumentó de forma significativa la identificación del germen en FRI [r4].</w:t>
      </w:r>
    </w:p>
    <w:p>
      <w:pPr>
        <w:keepNext/>
      </w:pPr>
      <w:r>
        <w:rPr>
          <w:b/>
          <w:color w:val="0F5F6B"/>
          <w:sz w:val="20"/>
        </w:rPr>
        <w:t>Figura 10. Detección de germen en 157 FRI con implante retirado: tejido, sonicado y ambos</w:t>
      </w:r>
      <w:r>
        <w:rPr>
          <w:color w:val="5A6469"/>
          <w:sz w:val="18"/>
        </w:rPr>
        <w:t xml:space="preserve">  [r20]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11. Coincidencia del germen con el cultivo previo según el momento de la profilaxis (65 pacientes)</w:t>
      </w:r>
      <w:r>
        <w:rPr>
          <w:color w:val="5A6469"/>
          <w:sz w:val="18"/>
        </w:rPr>
        <w:t xml:space="preserve">  [r19]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1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[r4] </w:t>
      </w:r>
      <w:r>
        <w:rPr>
          <w:sz w:val="18"/>
        </w:rPr>
        <w:t xml:space="preserve">Govaert GAM, Kuehl R, Atkins BL, Trampuz A, Morgenstern M, Obremskey WT, et al. Diagnosing Fracture-Related Infection: Current Concepts and Recommendations. J Orthop Trauma. 2020;34(1):8-17. </w:t>
      </w:r>
      <w:r>
        <w:rPr>
          <w:i/>
          <w:color w:val="5A6469"/>
          <w:sz w:val="17"/>
        </w:rPr>
        <w:t xml:space="preserve">(guia · acceso abierto) </w:t>
      </w:r>
      <w:hyperlink r:id="rId42">
        <w:r>
          <w:rPr>
            <w:color w:val="0563C1"/>
            <w:u w:val="single"/>
            <w:sz w:val="18"/>
          </w:rPr>
          <w:t xml:space="preserve">https://doi.org/10.1097/BOT.0000000000001614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[r5] </w:t>
      </w:r>
      <w:r>
        <w:rPr>
          <w:sz w:val="18"/>
        </w:rPr>
        <w:t xml:space="preserve">Achermann Y, Goldstein EJ, Coenye T, Shirtliff ME. Propionibacterium acnes: from commensal to opportunistic biofilm-associated implant pathogen. Clin Microbiol Rev. 2014;27(3):419-40. </w:t>
      </w:r>
      <w:r>
        <w:rPr>
          <w:i/>
          <w:color w:val="5A6469"/>
          <w:sz w:val="17"/>
        </w:rPr>
        <w:t xml:space="preserve">(revision · acceso abierto) </w:t>
      </w:r>
      <w:hyperlink r:id="rId29">
        <w:r>
          <w:rPr>
            <w:color w:val="0563C1"/>
            <w:u w:val="single"/>
            <w:sz w:val="18"/>
          </w:rPr>
          <w:t xml:space="preserve">https://doi.org/10.1128/CMR.00092-13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[r13] </w:t>
      </w:r>
      <w:r>
        <w:rPr>
          <w:sz w:val="18"/>
        </w:rPr>
        <w:t xml:space="preserve">Metsemakers WJ, Morgenstern M, McNally MA, Moriarty TF, McFadyen I, Scarborough M, et al. Fracture-related infection: A consensus on definition from an international expert group. Injury. 2018;49(3):505-510. </w:t>
      </w:r>
      <w:r>
        <w:rPr>
          <w:i/>
          <w:color w:val="5A6469"/>
          <w:sz w:val="17"/>
        </w:rPr>
        <w:t xml:space="preserve">(guia · acceso resumen) </w:t>
      </w:r>
      <w:hyperlink r:id="rId44">
        <w:r>
          <w:rPr>
            <w:color w:val="0563C1"/>
            <w:u w:val="single"/>
            <w:sz w:val="18"/>
          </w:rPr>
          <w:t xml:space="preserve">https://doi.org/10.1016/j.injury.2017.08.040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[r19] </w:t>
      </w:r>
      <w:r>
        <w:rPr>
          <w:sz w:val="18"/>
        </w:rPr>
        <w:t xml:space="preserve">Tetreault MW, Wetters NG, Aggarwal V, Mont M, Parvizi J, Della Valle CJ. The Chitranjan Ranawat Award: Should prophylactic antibiotics be withheld before revision surgery to obtain appropriate cultures?. Clin Orthop Relat Res. 2014;472(1):52-6. </w:t>
      </w:r>
      <w:r>
        <w:rPr>
          <w:i/>
          <w:color w:val="5A6469"/>
          <w:sz w:val="17"/>
        </w:rPr>
        <w:t xml:space="preserve">(ECA · acceso abierto) </w:t>
      </w:r>
      <w:hyperlink r:id="rId45">
        <w:r>
          <w:rPr>
            <w:color w:val="0563C1"/>
            <w:u w:val="single"/>
            <w:sz w:val="18"/>
          </w:rPr>
          <w:t xml:space="preserve">https://doi.org/10.1007/s11999-013-3016-5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[r20] </w:t>
      </w:r>
      <w:r>
        <w:rPr>
          <w:sz w:val="18"/>
        </w:rPr>
        <w:t xml:space="preserve">Abdo B, Strack D, Schäuffele M, Tüngler TL, Imirzalioglu C, Windhorst A, et al. Sonication versus peri-implant tissue culture in fracture-related infection: diagnostic performance and therapeutic consequences in a single-center cohort. J Bone Jt Infect. 2026;11(4):555-563. </w:t>
      </w:r>
      <w:r>
        <w:rPr>
          <w:i/>
          <w:color w:val="5A6469"/>
          <w:sz w:val="17"/>
        </w:rPr>
        <w:t xml:space="preserve">(cohorte · acceso abierto) </w:t>
      </w:r>
      <w:hyperlink r:id="rId46">
        <w:r>
          <w:rPr>
            <w:color w:val="0563C1"/>
            <w:u w:val="single"/>
            <w:sz w:val="18"/>
          </w:rPr>
          <w:t xml:space="preserve">https://doi.org/10.5194/jbji-11-555-2026</w:t>
        </w:r>
      </w:hyperlink>
    </w:p>
    <w:p>
      <w:pPr>
        <w:pStyle w:val="Heading1"/>
      </w:pPr>
      <w:r>
        <w:t>Staphylococcus aureus: MSSA y MRSA</w:t>
      </w:r>
    </w:p>
    <w:p>
      <w:r>
        <w:rPr>
          <w:b/>
        </w:rPr>
        <w:t>Por qué es el protagonista.</w:t>
      </w:r>
      <w:r>
        <w:rPr/>
        <w:t xml:space="preserve"> Coloniza cerca de 30 % de las personas [r26] y es el germen más común en la osteomielitis, la artritis séptica nativa y la infección de prótesis [r16]. Hasta 60 % de las bacteriemias por S. aureus terminan con un foco complicado, como endocarditis, osteomielitis o infección del implante [r26].</w:t>
      </w:r>
    </w:p>
    <w:p>
      <w:r>
        <w:rPr>
          <w:b/>
        </w:rPr>
        <w:t>MSSA y el betalactámico.</w:t>
      </w:r>
      <w:r>
        <w:rPr/>
        <w:t xml:space="preserve"> El consenso de FRI usa flucloxacilina IV, 2 g cada 6 horas [r2]. La cefazolina cambió de lugar con 2 ensayos de bacteriemia: CloCeBa (315 pacientes) obtuvo el desenlace en 75 % con cefazolina y 74 % con cloxacilina [r41], y SNAP encontró mortalidad a 90 días de 15,0 % con cefazolina y 17,0 % con penicilina antiestafilocócica [r23]. Hubo menos lesión renal aguda con cefazolina: 1 % frente a 12 % en CloCeBa [r41] y 13,9 % frente a 19,6 % en SNAP [r23].</w:t>
      </w:r>
    </w:p>
    <w:p>
      <w:r>
        <w:rPr>
          <w:b/>
        </w:rPr>
        <w:t>Lo que esos ensayos no resuelven.</w:t>
      </w:r>
      <w:r>
        <w:rPr/>
        <w:t xml:space="preserve"> Son de bacteriemia. SNAP tuvo la infección osteoarticular como foco más frecuente, pero no hay análisis por foco publicados [r24]. La evidencia directa en hueso son unas pocas cohortes retrospectivas [r24]. El efecto inóculo (la penicilinasa degrada más cefazolina cuando hay mucha bacteria) preocupa más en hueso, abscesos y biofilm [r24]. Una revisión de 2026 concluye que la cefazolina es una opción racional de primera línea en la mayoría de las infecciones óseas y articulares por MSSA [r24]; con alto inóculo o implante, decide con infectología.</w:t>
      </w:r>
    </w:p>
    <w:p>
      <w:r>
        <w:rPr>
          <w:b/>
        </w:rPr>
        <w:t>MRSA: glucopéptido primero.</w:t>
      </w:r>
      <w:r>
        <w:rPr/>
        <w:t xml:space="preserve"> La guía británica recomienda vancomicina o teicoplanina IV como primera línea en MRSA osteoarticular, con 2 semanas IV y luego completar al menos 4 semanas en artritis séptica o 6 en osteomielitis [r3]. Si hay contraindicación a los glucopéptidos, daptomicina o linezolid; para completar por vía oral, clindamicina, cotrimoxazol, doxiciclina o linezolid si el aislado es sensible [r3]. La guía advierte que los ensayos recientes no tuvieron potencia para hueso y que no se use rifampicina, ácido fusídico ni quinolona como único agente oral [r3]. En un ensayo de cotrimoxazol frente a vancomicina con 39 y 32 pacientes con MRSA óseo, la falla clínica a los 7 días fue 28 % y 22 %; con tan pocos pacientes y alto riesgo de sesgo, la guía no saca conclusión [r3].</w:t>
      </w:r>
    </w:p>
    <w:p>
      <w:r>
        <w:rPr>
          <w:b/>
        </w:rPr>
        <w:t>Guías.</w:t>
      </w:r>
      <w:r>
        <w:rPr/>
        <w:t xml:space="preserve"> La guía IDSA de 2011 sobre MRSA también cubre las infecciones osteoarticulares y la dosificación y monitoreo de la vancomicina [r42].</w:t>
      </w:r>
    </w:p>
    <w:p>
      <w:r>
        <w:rPr>
          <w:b/>
        </w:rPr>
        <w:t>El MRSA como problema local.</w:t>
      </w:r>
      <w:r>
        <w:rPr/>
        <w:t xml:space="preserve"> En pie diabético de Latinoamérica, 37,8 % de los S. aureus aislados fueron MRSA (estimación agrupada) [r15]; no tenemos esa cifra para trauma en Ecuador, y la que importa es la de tu hospital.</w:t>
      </w:r>
    </w:p>
    <w:p>
      <w:r>
        <w:rPr>
          <w:b/>
        </w:rPr>
        <w:t>Rifampicina y S. aureus: lo que sí y lo que no.</w:t>
      </w:r>
      <w:r>
        <w:rPr/>
        <w:t xml:space="preserve"> Con implante estable y síntomas cortos, la rifampicina con una quinolona curó 12 de 12 frente a 7 de 12 con placebo [r39]. En bacteriemia por S. aureus (ARREST) no aportó y causó más eventos adversos [r22]. La resistencia a rifampicina empeora el pronóstico: tras recambio en 2 tiempos, curó 92,5 % con germen sensible y 60,0 % con resistente [r21]; la doble resistencia a levofloxacino y rifampicina tuvo un OR de fracaso de 8,01 [r21].</w:t>
      </w:r>
    </w:p>
    <w:p>
      <w:r>
        <w:rPr>
          <w:b/>
        </w:rPr>
        <w:t>Dónde se cura menos.</w:t>
      </w:r>
      <w:r>
        <w:rPr/>
        <w:t xml:space="preserve"> En infección protésica hematógena aguda, el DAIR cura entre 50 y 70 %, menos que en la temprana posquirúrgica [r16]. En osteomielitis vertebral por MRSA, tratar menos de 8 semanas se asoció a 4,8 veces más recaída que 8 semanas o más; no se vio esa asociación en MSSA [r16].</w:t>
      </w:r>
    </w:p>
    <w:p>
      <w:pPr>
        <w:keepNext/>
      </w:pPr>
      <w:r>
        <w:rPr>
          <w:b/>
          <w:color w:val="0F5F6B"/>
          <w:sz w:val="20"/>
        </w:rPr>
        <w:t>Tabla 7. S. aureus: decisión inicial según la situación</w:t>
      </w:r>
      <w:r>
        <w:rPr>
          <w:color w:val="5A6469"/>
          <w:sz w:val="18"/>
        </w:rPr>
        <w:t xml:space="preserve">  [r1] [r2] [r3] [r22] [r24]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Situación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Primera elección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Alternativa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Duración orientadora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MSSA sin implante o con implante retirado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Flucloxacilina IV, 2 g cada 6 h [r2]; cefazolina razonable [r24]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Pasar a oral biodisponible [r1]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6 semanas; con implante retirado, el consenso de FRI las cuenta desde el retiro [r2]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MSSA con implante retenido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Betalactámico IV y luego rifampicina más fluoroquinolona [r2]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TMP-SMX, doxiciclina o ácido fusídico como segunda línea [r2]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12 semanas con terapia antibiofilm [r2]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MRSA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Vancomicina o teicoplanina IV [r3]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Daptomicina o linezolid [r3]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Al menos 4 semanas en artritis séptica y 6 en osteomielitis [r3]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Bacteriemia con foco óseo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Betalactámico según sensibilidad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Sin rifampicina adyuvante [r22]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Según el foco y el equipo de infectología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Figura 12. Mortalidad a 90 días en bacteriemia por MSSA: cefazolina frente a penicilina antiestafilocócica (SNAP)</w:t>
      </w:r>
      <w:r>
        <w:rPr>
          <w:color w:val="5A6469"/>
          <w:sz w:val="18"/>
        </w:rPr>
        <w:t xml:space="preserve">  [r23]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2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[r3] </w:t>
      </w:r>
      <w:r>
        <w:rPr>
          <w:sz w:val="18"/>
        </w:rPr>
        <w:t xml:space="preserve">Brown NM, Goodman AL, Horner C, Jenkins A, Brown EM. Treatment of methicillin-resistant Staphylococcus aureus (MRSA): updated guidelines from the UK. JAC Antimicrob Resist. 2021;3(1):dlaa114. </w:t>
      </w:r>
      <w:r>
        <w:rPr>
          <w:i/>
          <w:color w:val="5A6469"/>
          <w:sz w:val="17"/>
        </w:rPr>
        <w:t xml:space="preserve">(guia · acceso abierto) </w:t>
      </w:r>
      <w:hyperlink r:id="rId31">
        <w:r>
          <w:rPr>
            <w:color w:val="0563C1"/>
            <w:u w:val="single"/>
            <w:sz w:val="18"/>
          </w:rPr>
          <w:t xml:space="preserve">https://doi.org/10.1093/jacamr/dlaa114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[r15] </w:t>
      </w:r>
      <w:r>
        <w:rPr>
          <w:sz w:val="18"/>
        </w:rPr>
        <w:t xml:space="preserve">Husaini DC, Chiroma JH, Sani GM, Ihebie CE, Nwachukwu I, Nwokocha C, et al. Antimicrobial Resistance in Diabetic Foot Infections in Latin America and the Caribbean: A Systematic Review and Meta-Analysis (1980-2025). Int J Microbiol. 2026;2026:5244269. </w:t>
      </w:r>
      <w:r>
        <w:rPr>
          <w:i/>
          <w:color w:val="5A6469"/>
          <w:sz w:val="17"/>
        </w:rPr>
        <w:t xml:space="preserve">(RS-MA · acceso abierto) </w:t>
      </w:r>
      <w:hyperlink r:id="rId20">
        <w:r>
          <w:rPr>
            <w:color w:val="0563C1"/>
            <w:u w:val="single"/>
            <w:sz w:val="18"/>
          </w:rPr>
          <w:t xml:space="preserve">https://doi.org/10.1155/ijm/5244269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[r16] </w:t>
      </w:r>
      <w:r>
        <w:rPr>
          <w:sz w:val="18"/>
        </w:rPr>
        <w:t xml:space="preserve">Tong SY, Davis JS, Eichenberger E, Holland TL, Fowler VG Jr. Staphylococcus aureus infections: epidemiology, pathophysiology, clinical manifestations, and management. Clin Microbiol Rev. 2015;28(3):603-61. </w:t>
      </w:r>
      <w:r>
        <w:rPr>
          <w:i/>
          <w:color w:val="5A6469"/>
          <w:sz w:val="17"/>
        </w:rPr>
        <w:t xml:space="preserve">(revision · acceso abierto) </w:t>
      </w:r>
      <w:hyperlink r:id="rId11">
        <w:r>
          <w:rPr>
            <w:color w:val="0563C1"/>
            <w:u w:val="single"/>
            <w:sz w:val="18"/>
          </w:rPr>
          <w:t xml:space="preserve">https://doi.org/10.1128/CMR.00134-14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[r22] </w:t>
      </w:r>
      <w:r>
        <w:rPr>
          <w:sz w:val="18"/>
        </w:rPr>
        <w:t xml:space="preserve">Thwaites GE, Scarborough M, Szubert A, Nsutebu E, Tilley R, Greig J, et al. Adjunctive rifampicin for Staphylococcus aureus bacteraemia (ARREST): a multicentre, randomised, double-blind, placebo-controlled trial. Lancet. 2018;391(10121):668-678. </w:t>
      </w:r>
      <w:r>
        <w:rPr>
          <w:i/>
          <w:color w:val="5A6469"/>
          <w:sz w:val="17"/>
        </w:rPr>
        <w:t xml:space="preserve">(ECA · acceso resumen) </w:t>
      </w:r>
      <w:hyperlink r:id="rId53">
        <w:r>
          <w:rPr>
            <w:color w:val="0563C1"/>
            <w:u w:val="single"/>
            <w:sz w:val="18"/>
          </w:rPr>
          <w:t xml:space="preserve">https://doi.org/10.1016/S0140-6736(17)32456-X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[r23] </w:t>
      </w:r>
      <w:r>
        <w:rPr>
          <w:sz w:val="18"/>
        </w:rPr>
        <w:t xml:space="preserve">Staphylococcus aureus Network Adaptive Platform (SNAP) Trial Group; Lee TC, Barina LA, Walls G, Goodman AL, Yahav D, Cheng MP, et al. Cefazolin for Methicillin-Susceptible Staphylococcus aureus Bacteremia. N Engl J Med. 2026;394(23):2329-2339. </w:t>
      </w:r>
      <w:r>
        <w:rPr>
          <w:i/>
          <w:color w:val="5A6469"/>
          <w:sz w:val="17"/>
        </w:rPr>
        <w:t xml:space="preserve">(ECA · acceso resumen) </w:t>
      </w:r>
      <w:hyperlink r:id="rId54">
        <w:r>
          <w:rPr>
            <w:color w:val="0563C1"/>
            <w:u w:val="single"/>
            <w:sz w:val="18"/>
          </w:rPr>
          <w:t xml:space="preserve">https://doi.org/10.1056/NEJMoa2506905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[r24] </w:t>
      </w:r>
      <w:r>
        <w:rPr>
          <w:sz w:val="18"/>
        </w:rPr>
        <w:t xml:space="preserve">Werneburg F, Beschauner J, Werneburg LI, Zeh A, Gutteck N, Delank KS. Cefazolin Versus Antistaphylococcal Penicillins in Methicillin-Susceptible Staphylococcus aureus Bone and Joint Infections: A Narrative Review. Antibiotics (Basel). 2026;15(9):930. </w:t>
      </w:r>
      <w:r>
        <w:rPr>
          <w:i/>
          <w:color w:val="5A6469"/>
          <w:sz w:val="17"/>
        </w:rPr>
        <w:t xml:space="preserve">(revision · acceso abierto) </w:t>
      </w:r>
      <w:hyperlink r:id="rId34">
        <w:r>
          <w:rPr>
            <w:color w:val="0563C1"/>
            <w:u w:val="single"/>
            <w:sz w:val="18"/>
          </w:rPr>
          <w:t xml:space="preserve">https://doi.org/10.3390/antibiotics15090930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[r26] </w:t>
      </w:r>
      <w:r>
        <w:rPr>
          <w:sz w:val="18"/>
        </w:rPr>
        <w:t xml:space="preserve">Parsons JB, Mourad A, Conlon BP, Kielian T, Fowler VG Jr. Methicillin-resistant and susceptible Staphylococcus aureus: tolerance, immune evasion and treatment. Nat Rev Microbiol. 2026;24(2):127-145. </w:t>
      </w:r>
      <w:r>
        <w:rPr>
          <w:i/>
          <w:color w:val="5A6469"/>
          <w:sz w:val="17"/>
        </w:rPr>
        <w:t xml:space="preserve">(revision · acceso abierto) </w:t>
      </w:r>
      <w:hyperlink r:id="rId12">
        <w:r>
          <w:rPr>
            <w:color w:val="0563C1"/>
            <w:u w:val="single"/>
            <w:sz w:val="18"/>
          </w:rPr>
          <w:t xml:space="preserve">https://doi.org/10.1038/s41579-025-01226-2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[r39] </w:t>
      </w:r>
      <w:r>
        <w:rPr>
          <w:sz w:val="18"/>
        </w:rPr>
        <w:t xml:space="preserve">Zimmerli W, Widmer AF, Blatter M, Frei R, Ochsner PE. Role of rifampin for treatment of orthopedic implant-related staphylococcal infections: a randomized controlled trial. Foreign-Body Infection (FBI) Study Group. JAMA. 1998;279(19):1537-41. </w:t>
      </w:r>
      <w:r>
        <w:rPr>
          <w:i/>
          <w:color w:val="5A6469"/>
          <w:sz w:val="17"/>
        </w:rPr>
        <w:t xml:space="preserve">(ECA · acceso resumen) </w:t>
      </w:r>
      <w:hyperlink r:id="rId57">
        <w:r>
          <w:rPr>
            <w:color w:val="0563C1"/>
            <w:u w:val="single"/>
            <w:sz w:val="18"/>
          </w:rPr>
          <w:t xml:space="preserve">https://doi.org/10.1001/jama.279.19.1537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[r41] </w:t>
      </w:r>
      <w:r>
        <w:rPr>
          <w:sz w:val="18"/>
        </w:rPr>
        <w:t xml:space="preserve">Burdet C, Saïdani N, Dupieux C, Lemaignen A, Canouï E, Surgers L, et al. Cloxacillin versus cefazolin for meticillin-susceptible Staphylococcus aureus bacteraemia (CloCeBa): a prospective, open-label, multicentre, non-inferiority, randomised clinical trial. Lancet. 2025;406(10517):2349-2359. </w:t>
      </w:r>
      <w:r>
        <w:rPr>
          <w:i/>
          <w:color w:val="5A6469"/>
          <w:sz w:val="17"/>
        </w:rPr>
        <w:t xml:space="preserve">(ECA · acceso resumen) </w:t>
      </w:r>
      <w:hyperlink r:id="rId59">
        <w:r>
          <w:rPr>
            <w:color w:val="0563C1"/>
            <w:u w:val="single"/>
            <w:sz w:val="18"/>
          </w:rPr>
          <w:t xml:space="preserve">https://doi.org/10.1016/S0140-6736(25)01624-1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[r42] </w:t>
      </w:r>
      <w:r>
        <w:rPr>
          <w:sz w:val="18"/>
        </w:rPr>
        <w:t xml:space="preserve">Liu C, Bayer A, Cosgrove SE, Daum RS, Fridkin SK, Gorwitz RJ, et al. Clinical practice guidelines by the infectious diseases society of america for the treatment of methicillin-resistant Staphylococcus aureus infections in adults and children. Clin Infect Dis. 2011;52(3):e18-55. </w:t>
      </w:r>
      <w:r>
        <w:rPr>
          <w:i/>
          <w:color w:val="5A6469"/>
          <w:sz w:val="17"/>
        </w:rPr>
        <w:t xml:space="preserve">(guia · acceso resumen) </w:t>
      </w:r>
      <w:hyperlink r:id="rId63">
        <w:r>
          <w:rPr>
            <w:color w:val="0563C1"/>
            <w:u w:val="single"/>
            <w:sz w:val="18"/>
          </w:rPr>
          <w:t xml:space="preserve">https://doi.org/10.1093/cid/ciq146</w:t>
        </w:r>
      </w:hyperlink>
    </w:p>
    <w:p>
      <w:pPr>
        <w:pStyle w:val="Heading1"/>
      </w:pPr>
      <w:r>
        <w:t>Estafilococos coagulasa negativos (SCN)</w:t>
      </w:r>
    </w:p>
    <w:p>
      <w:r>
        <w:rPr>
          <w:b/>
        </w:rPr>
        <w:t>Quiénes son.</w:t>
      </w:r>
      <w:r>
        <w:rPr/>
        <w:t xml:space="preserve"> Los SCN son estafilococos sin coagulasa; </w:t>
      </w:r>
      <w:r>
        <w:rPr>
          <w:i/>
        </w:rPr>
        <w:t>S. epidermidis</w:t>
      </w:r>
      <w:r>
        <w:rPr/>
        <w:t xml:space="preserve"> y </w:t>
      </w:r>
      <w:r>
        <w:rPr>
          <w:i/>
        </w:rPr>
        <w:t>S. haemolyticus</w:t>
      </w:r>
      <w:r>
        <w:rPr/>
        <w:t xml:space="preserve"> son los más importantes en infección de cuerpo extraño [r18]. Son comensales de la piel, así que hay que decidir cada vez si son infección o contaminación [r18].</w:t>
      </w:r>
    </w:p>
    <w:p>
      <w:r>
        <w:rPr>
          <w:b/>
        </w:rPr>
        <w:t>Dónde importan.</w:t>
      </w:r>
      <w:r>
        <w:rPr/>
        <w:t xml:space="preserve"> Causan 30 a 50 % de las infecciones periprotésicas [r18]; en una cohorte de 10 hospitales fueron 24 % de las infecciones protésicas con cultivo positivo y 89 % eran meticilino resistentes [r18]. Otra revisión los estima en cerca de 25 % de las infecciones protésicas, con más de 50 % resistentes a meticilina [r21]. La infección de bajo grado (dolor persistente, aflojamiento) se asocia más a SCN [r18].</w:t>
      </w:r>
    </w:p>
    <w:p>
      <w:r>
        <w:rPr>
          <w:b/>
        </w:rPr>
        <w:t>Cómo decidir si es infección.</w:t>
      </w:r>
      <w:r>
        <w:rPr/>
        <w:t xml:space="preserve"> Un cultivo único con SCN no confirma infección y obliga a investigar más [r12]. En cambio, 2 muestras con germen indistinguible y el mismo antibiograma sí la definen [r12]; en FRI, 2 muestras profundas con germen indistinguible son un criterio confirmatorio [r13].</w:t>
      </w:r>
    </w:p>
    <w:p>
      <w:r>
        <w:rPr>
          <w:b/>
        </w:rPr>
        <w:t>Cómo tratarlos.</w:t>
      </w:r>
      <w:r>
        <w:rPr/>
        <w:t xml:space="preserve"> Si son meticilino resistentes se tratan como MRSA; si no hay mecA, como MSSA [r2]. Con implante, el esquema curativo es rifampicina combinada, pero la resistencia primaria a rifampicina llega a 20 % en algunas cohortes, y 64 de 940 </w:t>
      </w:r>
      <w:r>
        <w:rPr>
          <w:i/>
        </w:rPr>
        <w:t>S. epidermidis</w:t>
      </w:r>
      <w:r>
        <w:rPr/>
        <w:t xml:space="preserve"> de infección protésica (6,8 %) eran resistentes por mutaciones [r21]. Pide el antibiograma de rifampicina antes de confiar en ella.</w:t>
      </w:r>
    </w:p>
    <w:p>
      <w:r>
        <w:rPr>
          <w:b/>
        </w:rPr>
        <w:t>S. lugdunensis.</w:t>
      </w:r>
      <w:r>
        <w:rPr/>
        <w:t xml:space="preserve"> Ocupa una posición intermedia entre S. aureus y los SCN [r18]; hasta que se pruebe lo contrario, trátalo con la seriedad de un S. aureus (opinión experta).</w:t>
      </w:r>
    </w:p>
    <w:p>
      <w:pPr>
        <w:keepNext/>
      </w:pPr>
      <w:r>
        <w:rPr>
          <w:b/>
          <w:color w:val="0F5F6B"/>
          <w:sz w:val="20"/>
        </w:rPr>
        <w:t>Tabla 8. SCN: cuándo creerles</w:t>
      </w:r>
      <w:r>
        <w:rPr>
          <w:color w:val="5A6469"/>
          <w:sz w:val="18"/>
        </w:rPr>
        <w:t xml:space="preserve">  [r2] [r12] [r13]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Situación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Interpretación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Fuente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SCN en 1 sola muestra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No confirma infección; investigar más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[r12]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SCN en 2 muestras con el mismo antibiograma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Infección confirmada (EBJIS)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[r12]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SCN en FRI con fístula o pus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Confirmada por criterios clínicos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[r13]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SCN meticilino resistente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Tratar como MRSA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[r2]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[r13] </w:t>
      </w:r>
      <w:r>
        <w:rPr>
          <w:sz w:val="18"/>
        </w:rPr>
        <w:t xml:space="preserve">Metsemakers WJ, Morgenstern M, McNally MA, Moriarty TF, McFadyen I, Scarborough M, et al. Fracture-related infection: A consensus on definition from an international expert group. Injury. 2018;49(3):505-510. </w:t>
      </w:r>
      <w:r>
        <w:rPr>
          <w:i/>
          <w:color w:val="5A6469"/>
          <w:sz w:val="17"/>
        </w:rPr>
        <w:t xml:space="preserve">(guia · acceso resumen) </w:t>
      </w:r>
      <w:hyperlink r:id="rId44">
        <w:r>
          <w:rPr>
            <w:color w:val="0563C1"/>
            <w:u w:val="single"/>
            <w:sz w:val="18"/>
          </w:rPr>
          <w:t xml:space="preserve">https://doi.org/10.1016/j.injury.2017.08.040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[r18] </w:t>
      </w:r>
      <w:r>
        <w:rPr>
          <w:sz w:val="18"/>
        </w:rPr>
        <w:t xml:space="preserve">Becker K, Heilmann C, Peters G. Coagulase-negative staphylococci. Clin Microbiol Rev. 2014;27(4):870-926. </w:t>
      </w:r>
      <w:r>
        <w:rPr>
          <w:i/>
          <w:color w:val="5A6469"/>
          <w:sz w:val="17"/>
        </w:rPr>
        <w:t xml:space="preserve">(revision · acceso abierto) </w:t>
      </w:r>
      <w:hyperlink r:id="rId22">
        <w:r>
          <w:rPr>
            <w:color w:val="0563C1"/>
            <w:u w:val="single"/>
            <w:sz w:val="18"/>
          </w:rPr>
          <w:t xml:space="preserve">https://doi.org/10.1128/CMR.00109-13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pStyle w:val="Heading1"/>
      </w:pPr>
      <w:r>
        <w:t>Pseudomonas aeruginosa y otros Gram negativos</w:t>
      </w:r>
    </w:p>
    <w:p>
      <w:r>
        <w:rPr>
          <w:b/>
        </w:rPr>
        <w:t>Dónde aparecen.</w:t>
      </w:r>
      <w:r>
        <w:rPr/>
        <w:t xml:space="preserve"> En OVIVA, otros Gram negativos fueron 16,7 % y Pseudomonas 5,1 % [r1]. En infecciones protésicas de cadera y rodilla de 2 hospitales, 18 % fue por Gram negativos, sobre todo Enterobacterales; la cadera tuvo un OR de 2,88 y la infección diferida (delayed) un OR de 0,45 [r31]. En FRI, P. aeruginosa explica 23,3 a 39,3 % de los Gram negativos [r27].</w:t>
      </w:r>
    </w:p>
    <w:p>
      <w:r>
        <w:rPr>
          <w:b/>
        </w:rPr>
        <w:t>Por qué cuestan.</w:t>
      </w:r>
      <w:r>
        <w:rPr/>
        <w:t xml:space="preserve"> El biofilm reduce la penetración del antibiótico entre 10 y 1000 veces [r27]. En una cohorte de 147 FRI por P. aeruginosa, la multirresistencia subió de 33,3 % a 58,6 % entre 2012-2014 y 2021-2023 y fue 44,9 % de los aislados [r27].</w:t>
      </w:r>
    </w:p>
    <w:p>
      <w:r>
        <w:rPr>
          <w:b/>
        </w:rPr>
        <w:t>Cómo se trata.</w:t>
      </w:r>
      <w:r>
        <w:rPr/>
        <w:t xml:space="preserve"> Contra Pseudomonas y otros no fermentadores, la quinolona no es el arranque después de desbridar, porque la resistencia aparece rápido; se arranca con un betalactámico IV (piperacilina-tazobactam, cefepima, ceftazidima o un carbapenem que no sea ertapenem), con aminoglucósido opcional los primeros 2 a 5 días [r2]. Si el germen es resistente a quinolona no hay otro oral y se sigue con el betalactámico IV [r2]. La tigeciclina no sirve para P. aeruginosa [r2]. Para Enterobacterales, con la herida seca y tras desbridar, una fluoroquinolona oral puede ser monoterapia porque elimina bacilos en biofilm joven [r2]; si hay resistencia, TMP-SMX en dosis alta es supresor, no curativo [r2].</w:t>
      </w:r>
    </w:p>
    <w:p>
      <w:r>
        <w:rPr>
          <w:b/>
        </w:rPr>
        <w:t>Qué resultado esperar.</w:t>
      </w:r>
      <w:r>
        <w:rPr/>
        <w:t xml:space="preserve"> En 47 infecciones protésicas agudas por Gram negativos manejadas con DAIR, la remisión fue 74,5 %, y recibir una fluoroquinolona cuando todos los aislados eran sensibles se asoció a mejor resultado (OR 9,09) [r43]. En P. aeruginosa los resultados son peores: éxito global de 46 % en infección protésica y libre de reinfección 22,4 % a los 10 años [r44]. En FRI el control inicial fue 89,8 %, pero hubo recurrencia en 15,6 % [r27]; la antibioticoterapia sistémica de menos de 4 semanas (OR 7,84) y la multirresistencia (OR 11,33) se asociaron a recurrencia [r27].</w:t>
      </w:r>
    </w:p>
    <w:p>
      <w:r>
        <w:rPr>
          <w:b/>
        </w:rPr>
        <w:t>Una pista clásica (en niños; revisión de 1992).</w:t>
      </w:r>
      <w:r>
        <w:rPr/>
        <w:t xml:space="preserve"> Dolor, edema y no apoyar el pie después de un clavo que atravesó una zapatilla: sospecha Pseudomonas; el consenso de la época fue desbridamiento abierto y antibiótico IV [r33].</w:t>
      </w:r>
    </w:p>
    <w:p>
      <w:r>
        <w:rPr>
          <w:b/>
        </w:rPr>
        <w:t>La cefazolina no basta en fractura.</w:t>
      </w:r>
      <w:r>
        <w:rPr/>
        <w:t xml:space="preserve"> En un centro de EE. UU., 90,9 % de 44 pacientes con FRI recibió cefazolina sola y la profilaxis coincidió con el germen en 43,2 % [r17]. La cefazolina no cubre MRSA, anaerobios ni muchos Gram negativos [r17]. Es un estudio pequeño de un solo centro: úsalo como alerta, no como regla.</w:t>
      </w:r>
    </w:p>
    <w:p>
      <w:pPr>
        <w:keepNext/>
      </w:pPr>
      <w:r>
        <w:rPr>
          <w:b/>
          <w:color w:val="0F5F6B"/>
          <w:sz w:val="20"/>
        </w:rPr>
        <w:t>Tabla 9. Pseudomonas y Gram negativos: resultados de las series citadas</w:t>
      </w:r>
      <w:r>
        <w:rPr>
          <w:color w:val="5A6469"/>
          <w:sz w:val="18"/>
        </w:rPr>
        <w:t xml:space="preserve">  [r27] [r43] [r44]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Serie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Escenario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Resultado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Martínez-Pastor 2009 (n = 47)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PJI aguda por Gram negativos con DAIR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Remisión 74,5 % [r43]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Akcicek 2026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PJI por P. aeruginosa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Éxito global 46 % [r44]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Wu 2026 (n = 147)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FRI por P. aeruginosa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Control inicial 89,8 % y recurrencia 15,6 % [r27]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Figura 13. Pseudomonas aeruginosa multirresistente en FRI por periodo de una cohorte</w:t>
      </w:r>
      <w:r>
        <w:rPr>
          <w:color w:val="5A6469"/>
          <w:sz w:val="18"/>
        </w:rPr>
        <w:t xml:space="preserve">  [r27]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3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[r17] </w:t>
      </w:r>
      <w:r>
        <w:rPr>
          <w:sz w:val="18"/>
        </w:rPr>
        <w:t xml:space="preserve">Daddi L, Golden M, Frumberg D, Spichler-Moffarah A. Is cefazolin an appropriate choice for preoperative prophylaxis in patients undergoing surgery for fracture-related infection. Antimicrob Steward Healthc Epidemiol. 2026;6(1):e216. </w:t>
      </w:r>
      <w:r>
        <w:rPr>
          <w:i/>
          <w:color w:val="5A6469"/>
          <w:sz w:val="17"/>
        </w:rPr>
        <w:t xml:space="preserve">(cohorte · acceso abierto) </w:t>
      </w:r>
      <w:hyperlink r:id="rId21">
        <w:r>
          <w:rPr>
            <w:color w:val="0563C1"/>
            <w:u w:val="single"/>
            <w:sz w:val="18"/>
          </w:rPr>
          <w:t xml:space="preserve">https://doi.org/10.1017/ash.2026.10755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[r27] </w:t>
      </w:r>
      <w:r>
        <w:rPr>
          <w:sz w:val="18"/>
        </w:rPr>
        <w:t xml:space="preserve">Wu H, Yu S, Sun D, Wang S, Wang X, Fu J, et al. Clinical characteristics and risk factors of recurrence for Pseudomonas aeruginosa-associated fracture-related infection following surgical treatment : a 12-year retrospective cohort study. Bone Jt Open. 2026;7(9):1194-1203. </w:t>
      </w:r>
      <w:r>
        <w:rPr>
          <w:i/>
          <w:color w:val="5A6469"/>
          <w:sz w:val="17"/>
        </w:rPr>
        <w:t xml:space="preserve">(cohorte · acceso abierto) </w:t>
      </w:r>
      <w:hyperlink r:id="rId24">
        <w:r>
          <w:rPr>
            <w:color w:val="0563C1"/>
            <w:u w:val="single"/>
            <w:sz w:val="18"/>
          </w:rPr>
          <w:t xml:space="preserve">https://doi.org/10.1302/2633-1462.79.BJO-2026-0015.R1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[r31] </w:t>
      </w:r>
      <w:r>
        <w:rPr>
          <w:sz w:val="18"/>
        </w:rPr>
        <w:t xml:space="preserve">Tedeschi S, Fernandez-Sampedro M, Zamparini E, Rossi N, Ferraro G, Pecorelli A, et al. Gram-negative aetiology in hip and knee prosthetic joint infections: risk factors and implications for empirical antibiotic therapy-a retrospective cohort study. JAC Antimicrob Resist. 2026;8(5):dlag206. </w:t>
      </w:r>
      <w:r>
        <w:rPr>
          <w:i/>
          <w:color w:val="5A6469"/>
          <w:sz w:val="17"/>
        </w:rPr>
        <w:t xml:space="preserve">(cohorte · acceso abierto) </w:t>
      </w:r>
      <w:hyperlink r:id="rId28">
        <w:r>
          <w:rPr>
            <w:color w:val="0563C1"/>
            <w:u w:val="single"/>
            <w:sz w:val="18"/>
          </w:rPr>
          <w:t xml:space="preserve">https://doi.org/10.1093/jacamr/dlag206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[r33] </w:t>
      </w:r>
      <w:r>
        <w:rPr>
          <w:sz w:val="18"/>
        </w:rPr>
        <w:t xml:space="preserve">Inaba AS, Zukin DD, Perro M. An update on the evaluation and management of plantar puncture wounds and Pseudomonas osteomyelitis. Pediatr Emerg Care. 1992;8(1):38-44. </w:t>
      </w:r>
      <w:r>
        <w:rPr>
          <w:i/>
          <w:color w:val="5A6469"/>
          <w:sz w:val="17"/>
        </w:rPr>
        <w:t xml:space="preserve">(revision · acceso resumen) </w:t>
      </w:r>
      <w:hyperlink r:id="rId36">
        <w:r>
          <w:rPr>
            <w:color w:val="0563C1"/>
            <w:u w:val="single"/>
            <w:sz w:val="18"/>
          </w:rPr>
          <w:t xml:space="preserve">https://doi.org/10.1097/00006565-199202000-00012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[r43] </w:t>
      </w:r>
      <w:r>
        <w:rPr>
          <w:sz w:val="18"/>
        </w:rPr>
        <w:t xml:space="preserve">Martínez-Pastor JC, Muñoz-Mahamud E, Vilchez F, García-Ramiro S, Bori G, Sierra J, et al. Outcome of acute prosthetic joint infections due to gram-negative bacilli treated with open debridement and retention of the prosthesis. Antimicrob Agents Chemother. 2009;53(11):4772-7. </w:t>
      </w:r>
      <w:r>
        <w:rPr>
          <w:i/>
          <w:color w:val="5A6469"/>
          <w:sz w:val="17"/>
        </w:rPr>
        <w:t xml:space="preserve">(cohorte · acceso abierto) </w:t>
      </w:r>
      <w:hyperlink r:id="rId65">
        <w:r>
          <w:rPr>
            <w:color w:val="0563C1"/>
            <w:u w:val="single"/>
            <w:sz w:val="18"/>
          </w:rPr>
          <w:t xml:space="preserve">https://doi.org/10.1128/AAC.00188-09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[r44] </w:t>
      </w:r>
      <w:r>
        <w:rPr>
          <w:sz w:val="18"/>
        </w:rPr>
        <w:t xml:space="preserve">Akcicek E, Mitterer JA, Achatz V, Szirmay T, Sebastian S, Hofstaetter JG. High failure rate in Pseudomonas aeruginosa-associated periprosthetic hip and knee joint infections. J Bone Jt Infect. 2026;11(1):83-94. </w:t>
      </w:r>
      <w:r>
        <w:rPr>
          <w:i/>
          <w:color w:val="5A6469"/>
          <w:sz w:val="17"/>
        </w:rPr>
        <w:t xml:space="preserve">(cohorte · acceso abierto) </w:t>
      </w:r>
      <w:hyperlink r:id="rId66">
        <w:r>
          <w:rPr>
            <w:color w:val="0563C1"/>
            <w:u w:val="single"/>
            <w:sz w:val="18"/>
          </w:rPr>
          <w:t xml:space="preserve">https://doi.org/10.5194/jbji-11-83-2026</w:t>
        </w:r>
      </w:hyperlink>
    </w:p>
    <w:p>
      <w:pPr>
        <w:pStyle w:val="Heading1"/>
      </w:pPr>
      <w:r>
        <w:t>Anaerobios: Cutibacterium acnes en hombro y columna</w:t>
      </w:r>
    </w:p>
    <w:p>
      <w:r>
        <w:rPr>
          <w:b/>
        </w:rPr>
        <w:t>Quién es.</w:t>
      </w:r>
      <w:r>
        <w:rPr/>
        <w:t xml:space="preserve"> </w:t>
      </w:r>
      <w:r>
        <w:rPr>
          <w:i/>
        </w:rPr>
        <w:t>Cutibacterium acnes</w:t>
      </w:r>
      <w:r>
        <w:rPr/>
        <w:t xml:space="preserve"> (antes </w:t>
      </w:r>
      <w:r>
        <w:rPr>
          <w:i/>
        </w:rPr>
        <w:t>Propionibacterium</w:t>
      </w:r>
      <w:r>
        <w:rPr/>
        <w:t>) es el anaerobio Gram positivo más aislado en FRI [r2] y el patógeno más frecuente en la infección protésica de hombro [r5].</w:t>
      </w:r>
    </w:p>
    <w:p>
      <w:r>
        <w:rPr>
          <w:b/>
        </w:rPr>
        <w:t>Por qué el hombro y la columna.</w:t>
      </w:r>
      <w:r>
        <w:rPr/>
        <w:t xml:space="preserve"> Vive en glándulas sebáceas y folículos; coloniza más el hombro que la cadera o la rodilla, con más carga en hombres [r5]. El efecto del antiséptico se agota pronto: entre 30 y 180 minutos después, los bordes de la herida vuelven a tener bacterias [r5]. En cirugía de hombro es el agente más común de infección del sitio quirúrgico [r45].</w:t>
      </w:r>
    </w:p>
    <w:p>
      <w:r>
        <w:rPr>
          <w:b/>
        </w:rPr>
        <w:t>Cómo se detecta.</w:t>
      </w:r>
      <w:r>
        <w:rPr/>
        <w:t xml:space="preserve"> Crece lento: los cultivos de tejido se incuban 10 a 14 días [r5]. Un cultivo aislado no confirma infección [r12]. En una serie de 164 episodios de infección del sitio espinal con C. acnes en 24 años, los episodios tratados fueron más polimicrobianos (41,3 % frente a 6,9 %), crecieron antes (6 frente a 9 días) y tuvieron 2 o más muestras positivas (58 % frente a 14 %) [r34]. No existe una definición aceptada de infección espinal de bajo grado [r34].</w:t>
      </w:r>
    </w:p>
    <w:p>
      <w:r>
        <w:rPr>
          <w:b/>
        </w:rPr>
        <w:t>Cómo se trata.</w:t>
      </w:r>
      <w:r>
        <w:rPr/>
        <w:t xml:space="preserve"> Es sensible a casi todo salvo metronidazol [r2], aunque la resistencia a clindamicina crece [r5]. Sobre biofilm el panorama cambia: en modelos animales funcionaron rifampicina, daptomicina y ceftriaxona, mientras que vancomicina, levofloxacino y clindamicina perdieron eficacia [r2]. El consenso sugiere empezar con bencilpenicilina o ceftriaxona y seguir con rifampicina combinada con amoxicilina, doxiciclina o quinolona [r2]; la evidencia de rifampicina para C. acnes es insuficiente para recomendaciones firmes [r21]. En la serie espinal la sensibilidad a amoxicilina, imipenem, linezolid y vancomicina superó 99 % y la resistencia a clindamicina fue 3,8 % [r34].</w:t>
      </w:r>
    </w:p>
    <w:p>
      <w:r>
        <w:rPr>
          <w:b/>
        </w:rPr>
        <w:t>Cómo se previene.</w:t>
      </w:r>
      <w:r>
        <w:rPr/>
        <w:t xml:space="preserve"> El peróxido de benzoilo 5 % en la piel del hombro redujo la colonización por C. acnes (RR 0,25; IC 95 % 0,08-0,72) en un metaanálisis en red de 946 pacientes, pero no pudo evaluar la colonización profunda [r45]. En cirugía de deformidad espinal, las infecciones precoces fueron 2,5 % con benzoilo y 12,5 % sin él (todas las causas) en un estudio retrospectivo cuasiexperimental de 160 pacientes; las debidas a C. acnes bajaron de 7,5 % a 1,3 % sin significancia estadística, y los autores lo consideran generador de hipótesis [r46].</w:t>
      </w:r>
    </w:p>
    <w:p>
      <w:r>
        <w:rPr>
          <w:b/>
        </w:rPr>
        <w:t>Otros anaerobios.</w:t>
      </w:r>
      <w:r>
        <w:rPr/>
        <w:t xml:space="preserve"> Los anaerobios Gram negativos se tratan con ampicilina-sulbactam o amoxicilina-clavulánico IV y luego metronidazol oral [r2]. Para Clostridium, Peptostreptococcus y Finegoldia no hay estudios: penicilina o ceftriaxona y guiarse por especie y antibiograma [r2].</w:t>
      </w:r>
    </w:p>
    <w:p>
      <w:pPr>
        <w:keepNext/>
      </w:pPr>
      <w:r>
        <w:rPr>
          <w:b/>
          <w:color w:val="0F5F6B"/>
          <w:sz w:val="20"/>
        </w:rPr>
        <w:t>Figura 14. Infecciones precoces del implante espinal con y sin peróxido de benzoilo 5 % (160 pacientes)</w:t>
      </w:r>
      <w:r>
        <w:rPr>
          <w:color w:val="5A6469"/>
          <w:sz w:val="18"/>
        </w:rPr>
        <w:t xml:space="preserve">  [r46]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4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[r5] </w:t>
      </w:r>
      <w:r>
        <w:rPr>
          <w:sz w:val="18"/>
        </w:rPr>
        <w:t xml:space="preserve">Achermann Y, Goldstein EJ, Coenye T, Shirtliff ME. Propionibacterium acnes: from commensal to opportunistic biofilm-associated implant pathogen. Clin Microbiol Rev. 2014;27(3):419-40. </w:t>
      </w:r>
      <w:r>
        <w:rPr>
          <w:i/>
          <w:color w:val="5A6469"/>
          <w:sz w:val="17"/>
        </w:rPr>
        <w:t xml:space="preserve">(revision · acceso abierto) </w:t>
      </w:r>
      <w:hyperlink r:id="rId29">
        <w:r>
          <w:rPr>
            <w:color w:val="0563C1"/>
            <w:u w:val="single"/>
            <w:sz w:val="18"/>
          </w:rPr>
          <w:t xml:space="preserve">https://doi.org/10.1128/CMR.00092-13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[r34] </w:t>
      </w:r>
      <w:r>
        <w:rPr>
          <w:sz w:val="18"/>
        </w:rPr>
        <w:t xml:space="preserve">Panzenböck LF, Scheuer R, Pallamar M, Scheider P, Krepler P. Cutibacterium acnes in elective spine surgery: a 24-year characterization of treated and untreated culture-positive patients. Spine J. 2026 Sep 12. Epub ahead of print. </w:t>
      </w:r>
      <w:r>
        <w:rPr>
          <w:i/>
          <w:color w:val="5A6469"/>
          <w:sz w:val="17"/>
        </w:rPr>
        <w:t xml:space="preserve">(cohorte · acceso resumen) </w:t>
      </w:r>
      <w:hyperlink r:id="rId37">
        <w:r>
          <w:rPr>
            <w:color w:val="0563C1"/>
            <w:u w:val="single"/>
            <w:sz w:val="18"/>
          </w:rPr>
          <w:t xml:space="preserve">https://doi.org/10.1016/j.spinee.2026.09.006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[r45] </w:t>
      </w:r>
      <w:r>
        <w:rPr>
          <w:sz w:val="18"/>
        </w:rPr>
        <w:t xml:space="preserve">Weninger V, Agócs G, Hergár L, Váncsa S, Hegedűs B, Szerb I, et al. 5% benzoyl peroxide is the most efficient in reducing the cutibacterium flora of the shoulder skin: a network meta-analysis. EFORT Open Rev. 2025;10(7):543-550. </w:t>
      </w:r>
      <w:r>
        <w:rPr>
          <w:i/>
          <w:color w:val="5A6469"/>
          <w:sz w:val="17"/>
        </w:rPr>
        <w:t xml:space="preserve">(RS-MA · acceso abierto) </w:t>
      </w:r>
      <w:hyperlink r:id="rId68">
        <w:r>
          <w:rPr>
            <w:color w:val="0563C1"/>
            <w:u w:val="single"/>
            <w:sz w:val="18"/>
          </w:rPr>
          <w:t xml:space="preserve">https://doi.org/10.1530/EOR-2024-0160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[r46] </w:t>
      </w:r>
      <w:r>
        <w:rPr>
          <w:sz w:val="18"/>
        </w:rPr>
        <w:t xml:space="preserve">Franceschi G, Marchi M, Dema E, Palmisani M, Aloisi P, Pellegrino M, et al. Preoperative benzoyl peroxide 5% reduces early Cutibacterium acnes-related postoperative spinal implant infections: a quasi-experimental study. Eur Spine J. 2026 Aug 20. Epub ahead of print. </w:t>
      </w:r>
      <w:r>
        <w:rPr>
          <w:i/>
          <w:color w:val="5A6469"/>
          <w:sz w:val="17"/>
        </w:rPr>
        <w:t xml:space="preserve">(cohorte · acceso resumen) </w:t>
      </w:r>
      <w:hyperlink r:id="rId69">
        <w:r>
          <w:rPr>
            <w:color w:val="0563C1"/>
            <w:u w:val="single"/>
            <w:sz w:val="18"/>
          </w:rPr>
          <w:t xml:space="preserve">https://doi.org/10.1007/s00586-026-10231-9</w:t>
        </w:r>
      </w:hyperlink>
    </w:p>
    <w:p>
      <w:pPr>
        <w:pStyle w:val="Heading1"/>
      </w:pPr>
      <w:r>
        <w:t>Mordeduras humanas y animales</w:t>
      </w:r>
    </w:p>
    <w:p>
      <w:r>
        <w:rPr>
          <w:b/>
        </w:rPr>
        <w:t>Flora.</w:t>
      </w:r>
      <w:r>
        <w:rPr/>
        <w:t xml:space="preserve"> Talan cultivó en un laboratorio de referencia 107 mordeduras infectadas (50 de perro y 57 de gato): salieron 5 aislados por herida (mediana); 56 % mezclaba aerobios y anaerobios, 36 % tenía solo aerobios y 1 %, solo anaerobios [r6]. Pasteurella fue el germen más frecuente: 50 % en perro y 75 % en gato [r6]. Los laboratorios locales aislaron mucho menos que el de referencia (mediana de 1 aislado) [r6], así que pide medios y transporte para anaerobios. En la mordedura humana el germen más aislado es </w:t>
      </w:r>
      <w:r>
        <w:rPr>
          <w:i/>
        </w:rPr>
        <w:t>Eikenella corrodens</w:t>
      </w:r>
      <w:r>
        <w:rPr/>
        <w:t>; estreptococos aparecen en 50 %, S. aureus en 40 % y Eikenella en 30 % [r7].</w:t>
      </w:r>
    </w:p>
    <w:p>
      <w:r>
        <w:rPr>
          <w:b/>
        </w:rPr>
        <w:t>Qué la hace peligrosa.</w:t>
      </w:r>
      <w:r>
        <w:rPr/>
        <w:t xml:space="preserve"> El riesgo global de infección es 10 a 20 %: 30 a 50 % en gato, 15 a 25 % en humana y 5 a 25 % en perro, y 18 a 36 % si es en la mano [r7]. Pasteurella multocida da dolor e inflamación en 12 a 24 horas; Capnocytophaga canimorsus puede dar sepsis aguda [r7]. Tienen más riesgo los pacientes con asplenia, cirrosis, diabetes, inmunodeficiencia e implantes [r7].</w:t>
      </w:r>
    </w:p>
    <w:p>
      <w:r>
        <w:rPr>
          <w:b/>
        </w:rPr>
        <w:t>La mano.</w:t>
      </w:r>
      <w:r>
        <w:rPr/>
        <w:t xml:space="preserve"> El puñetazo contra los dientes lesiona la cápsula metacarpofalángica y las falanges proximales de los dedos 2 a 5 [r7]. La herida cutánea engaña porque las capas profundas se deslizan al morder [r7].</w:t>
      </w:r>
    </w:p>
    <w:p>
      <w:r>
        <w:rPr>
          <w:b/>
        </w:rPr>
        <w:t>Cirugía antes que antibiótico.</w:t>
      </w:r>
      <w:r>
        <w:rPr/>
        <w:t xml:space="preserve"> El desbridamiento quirúrgico supera a la irrigación sola, que no debe hacerse a presión [r7]. En el puño cerrado: desbridamiento amplio, tenosinovectomía, irrigación, drenaje y baños diarios; con articulación infectada, una segunda mirada a las 48 horas [r7]. No se cierran de primera la punción profunda de gato, ninguna mordedura de la mano ni la mordedura humana fuera de la cara [r7].</w:t>
      </w:r>
    </w:p>
    <w:p>
      <w:r>
        <w:rPr>
          <w:b/>
        </w:rPr>
        <w:t>¿Antibiótico preventivo?</w:t>
      </w:r>
      <w:r>
        <w:rPr/>
        <w:t xml:space="preserve"> No de forma universal [r7]. La revisión Cochrane de 2001 (8 estudios; clásica) no halló beneficio en mordeduras de gato o perro [r8]. Sí lo halló en la mordedura humana, con datos de un solo ensayo, y en la de mano: OR 0,10 (IC 95 % 0,01-0,86), NNT 4 [r8]; ambos hallazgos piden confirmación [r8]. Aun así, la mayoría de los expertos recomienda 3 a 5 días en heridas frescas, profundas o en zonas críticas (manos, pies, cerca de articulaciones, cara, genitales) y en pacientes con riesgo [r7]. No hace falta si el paciente consulta a las 24 horas o más sin signos de infección [r7].</w:t>
      </w:r>
    </w:p>
    <w:p>
      <w:r>
        <w:rPr>
          <w:b/>
        </w:rPr>
        <w:t>Antibiótico para la infección.</w:t>
      </w:r>
      <w:r>
        <w:rPr/>
        <w:t xml:space="preserve"> Aminopenicilina con inhibidor de betalactamasa, oral o IV [r7]; en la serie de Talan fue el esquema más usado y resultó apropiado según los cultivos [r6]. Flucloxacilina, cefalosporinas de primera generación, eritromicina o clindamicina no deben usarse en monoterapia [r7]; clindamicina, macrólidos, isoxazolilpenicilinas, cefalosporinas de primera generación y aminoglucósidos no sirven contra P. multocida [r7]. Duración orientadora: celulitis o absceso 1 a 2 semanas; tenosinovitis 2 a 3; osteomielitis o artritis 3 a 4 [r7]. Hospitaliza y consulta a cirugía de mano ante hueso o articulación comprometidos [r7]. Revisa siempre el estado de tétanos y valora el riesgo de rabia [r7].</w:t>
      </w:r>
    </w:p>
    <w:p>
      <w:pPr>
        <w:keepNext/>
      </w:pPr>
      <w:r>
        <w:rPr>
          <w:b/>
          <w:color w:val="0F5F6B"/>
          <w:sz w:val="20"/>
        </w:rPr>
        <w:t>Tabla 10. Mordeduras: qué esperar según el agresor</w:t>
      </w:r>
      <w:r>
        <w:rPr>
          <w:color w:val="5A6469"/>
          <w:sz w:val="18"/>
        </w:rPr>
        <w:t xml:space="preserve">  [r6] [r7]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Agresor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Germen típico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Riesgo de infección</w:t>
            </w:r>
          </w:p>
        </w:tc>
        <w:tc>
          <w:tcPr>
            <w:tcW w:type="dxa" w:w="2353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Detalle clave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Perro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Pasteurella (50 %); Capnocytophaga canimorsus (sepsis) [r6][r7]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5-25 % [r7]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Aminopenicilina con inhibidor [r7]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Gato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Pasteurella (75 %) [r6]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30-50 % [r7]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Punción profunda: no cerrar [r7]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20"/>
              </w:rPr>
              <w:t>Humano o puñetazo contra dientes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Eikenella corrodens (30 %); estreptococos (50 %); S. aureus (40 %) [r7]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15-25 % [r7]</w:t>
            </w:r>
          </w:p>
        </w:tc>
        <w:tc>
          <w:tcPr>
            <w:tcW w:type="dxa" w:w="2353"/>
          </w:tcPr>
          <w:p>
            <w:r/>
            <w:r>
              <w:rPr>
                <w:sz w:val="20"/>
              </w:rPr>
              <w:t>Articulación metacarpofalángica y falanges proximales; desbridar [r7]</w:t>
            </w:r>
          </w:p>
        </w:tc>
      </w:tr>
      <w:tr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Roedor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P. multocida si se infecta [r7]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Rara [r7]</w:t>
            </w:r>
          </w:p>
        </w:tc>
        <w:tc>
          <w:tcPr>
            <w:tcW w:type="dxa" w:w="2353"/>
            <w:shd w:val="clear" w:color="auto" w:fill="EEF3F4"/>
          </w:tcPr>
          <w:p>
            <w:r/>
            <w:r>
              <w:rPr>
                <w:sz w:val="20"/>
              </w:rPr>
              <w:t>Considera rabia y fiebre por mordedura de rata según el caso [r7]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Figura 15. Pasteurella como germen más frecuente de las mordeduras infectadas</w:t>
      </w:r>
      <w:r>
        <w:rPr>
          <w:color w:val="5A6469"/>
          <w:sz w:val="18"/>
        </w:rPr>
        <w:t xml:space="preserve">  [r6]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5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[r6] </w:t>
      </w:r>
      <w:r>
        <w:rPr>
          <w:sz w:val="18"/>
        </w:rPr>
        <w:t xml:space="preserve">Talan DA, Citron DM, Abrahamian FM, Moran GJ, Goldstein EJ. Bacteriologic analysis of infected dog and cat bites. Emergency Medicine Animal Bite Infection Study Group. N Engl J Med. 1999;340(2):85-92. </w:t>
      </w:r>
      <w:r>
        <w:rPr>
          <w:i/>
          <w:color w:val="5A6469"/>
          <w:sz w:val="17"/>
        </w:rPr>
        <w:t xml:space="preserve">(cohorte · acceso resumen) </w:t>
      </w:r>
      <w:hyperlink r:id="rId32">
        <w:r>
          <w:rPr>
            <w:color w:val="0563C1"/>
            <w:u w:val="single"/>
            <w:sz w:val="18"/>
          </w:rPr>
          <w:t xml:space="preserve">https://doi.org/10.1056/NEJM199901143400202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[r7] </w:t>
      </w:r>
      <w:r>
        <w:rPr>
          <w:sz w:val="18"/>
        </w:rPr>
        <w:t xml:space="preserve">Rothe K, Tsokos M, Handrick W. Animal and Human Bite Wounds. Dtsch Arztebl Int. 2015;112(25):433-42; quiz 443. </w:t>
      </w:r>
      <w:r>
        <w:rPr>
          <w:i/>
          <w:color w:val="5A6469"/>
          <w:sz w:val="17"/>
        </w:rPr>
        <w:t xml:space="preserve">(revision · acceso abierto) </w:t>
      </w:r>
      <w:hyperlink r:id="rId16">
        <w:r>
          <w:rPr>
            <w:color w:val="0563C1"/>
            <w:u w:val="single"/>
            <w:sz w:val="18"/>
          </w:rPr>
          <w:t xml:space="preserve">https://doi.org/10.3238/arztebl.2015.0433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[r8] </w:t>
      </w:r>
      <w:r>
        <w:rPr>
          <w:sz w:val="18"/>
        </w:rPr>
        <w:t xml:space="preserve">Medeiros I, Saconato H. Antibiotic prophylaxis for mammalian bites. Cochrane Database Syst Rev. 2001;2001(2):CD001738. </w:t>
      </w:r>
      <w:r>
        <w:rPr>
          <w:i/>
          <w:color w:val="5A6469"/>
          <w:sz w:val="17"/>
        </w:rPr>
        <w:t xml:space="preserve">(RS-MA · acceso resumen) </w:t>
      </w:r>
      <w:hyperlink r:id="rId71">
        <w:r>
          <w:rPr>
            <w:color w:val="0563C1"/>
            <w:u w:val="single"/>
            <w:sz w:val="18"/>
          </w:rPr>
          <w:t xml:space="preserve">https://doi.org/10.1002/14651858.CD001738</w:t>
        </w:r>
      </w:hyperlink>
    </w:p>
    <w:p>
      <w:pPr>
        <w:pStyle w:val="Heading1"/>
      </w:pPr>
      <w:r>
        <w:t>Kingella kingae en el niño pequeño</w:t>
      </w:r>
    </w:p>
    <w:p>
      <w:r>
        <w:rPr>
          <w:b/>
        </w:rPr>
        <w:t>Quién y cuándo.</w:t>
      </w:r>
      <w:r>
        <w:rPr/>
        <w:t xml:space="preserve"> Es el principal agente de osteomielitis y artritis séptica entre los 6 y los 36 meses [r9]. La colonización de la orofaringe llega a 10 % entre los 12 y los 24 meses y baja después [r32]; en guarderías creció en 17,5 % de las muestras orofaríngeas y no en la nasofaringe [r32].</w:t>
      </w:r>
    </w:p>
    <w:p>
      <w:r>
        <w:rPr>
          <w:b/>
        </w:rPr>
        <w:t>Por qué se escapa.</w:t>
      </w:r>
      <w:r>
        <w:rPr/>
        <w:t xml:space="preserve"> Da síntomas leves [r9]. En 43 niños menores de 4 años con sospecha de infección osteoarticular, entre los casos por Kingella menos de 15 % estaba febril al ingreso y 39 % tenía proteína C reactiva normal; además, el Gram y el cultivo clásico fueron negativos en todos los detectados luego por PCR molecular [r25]. En un registro de 907 casos de 3 a 60 meses, 57 % quedó sin germen y la PCR se hizo en solo 7 % [r28].</w:t>
      </w:r>
    </w:p>
    <w:p>
      <w:r>
        <w:rPr>
          <w:b/>
        </w:rPr>
        <w:t>Cómo detectarla.</w:t>
      </w:r>
      <w:r>
        <w:rPr/>
        <w:t xml:space="preserve"> Inocula el exudado en frasco de hemocultivo y usa PCR molecular [r9]. Una PCR propia de un hospital pediátrico (500 pacientes, 46 con Kingella) tuvo sensibilidad de 95,7 %, especificidad de 100 %, VPP de 100 % y VPN de 99,6 %; 80 % de los casos se detectó solo por PCR, 4 veces más que con cultivo, el resultado salió en una mediana de 26,5 horas y 84 % cambió de antibiótico dentro del día siguiente al informe [r10].</w:t>
      </w:r>
    </w:p>
    <w:p>
      <w:r>
        <w:rPr>
          <w:b/>
        </w:rPr>
        <w:t>Tratamiento.</w:t>
      </w:r>
      <w:r>
        <w:rPr/>
        <w:t xml:space="preserve"> Los antibióticos de rutina en la infección osteoarticular del niño pequeño suelen cubrirla [r9]. Ojo con la betalactamasa: depende de clones y su frecuencia cambia de un lugar a otro, así que averigua el perfil de tu región [r9]. Tratada a tiempo, y salvo que haya endocarditis, evoluciona bien [r9]. Esquemas y duración pediátrica: ver el tema de osteomielitis aguda hematógena del niño.</w:t>
      </w:r>
    </w:p>
    <w:p>
      <w:pPr>
        <w:keepNext/>
      </w:pPr>
      <w:r>
        <w:rPr>
          <w:b/>
          <w:color w:val="0F5F6B"/>
          <w:sz w:val="20"/>
        </w:rPr>
        <w:t>Tabla 11. Kingella: pistas que la delatan</w:t>
      </w:r>
      <w:r>
        <w:rPr>
          <w:color w:val="5A6469"/>
          <w:sz w:val="18"/>
        </w:rPr>
        <w:t xml:space="preserve">  [r9] [r25] [r28]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Pista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Dato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Fuente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Edad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6 a 36 meses; pico a los 12-24 meses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[r9][r28]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Fiebre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Menos de 15 % febriles al ingreso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[r25]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Proteína C reactiva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39 % normal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[r25]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Cultivo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Gram y cultivo clásico negativos si luego hay PCR positiva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[r25]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Prueba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PCR molecular o frasco de hemocultivo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[r9]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[r9] </w:t>
      </w:r>
      <w:r>
        <w:rPr>
          <w:sz w:val="18"/>
        </w:rPr>
        <w:t xml:space="preserve">Yagupsky P. Kingella kingae: carriage, transmission, and disease. Clin Microbiol Rev. 2015;28(1):54-79. </w:t>
      </w:r>
      <w:r>
        <w:rPr>
          <w:i/>
          <w:color w:val="5A6469"/>
          <w:sz w:val="17"/>
        </w:rPr>
        <w:t xml:space="preserve">(revision · acceso resumen) </w:t>
      </w:r>
      <w:hyperlink r:id="rId17">
        <w:r>
          <w:rPr>
            <w:color w:val="0563C1"/>
            <w:u w:val="single"/>
            <w:sz w:val="18"/>
          </w:rPr>
          <w:t xml:space="preserve">https://doi.org/10.1128/CMR.00028-14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[r10] </w:t>
      </w:r>
      <w:r>
        <w:rPr>
          <w:sz w:val="18"/>
        </w:rPr>
        <w:t xml:space="preserve">Oyeniran SJ, Leber AL, Wang H. An in-house Kingella kingae PCR in a large pediatric cohort: impact on diagnosis, antimicrobial stewardship, and clinical outcomes. J Clin Microbiol. 2025;63(11):e0098625. </w:t>
      </w:r>
      <w:r>
        <w:rPr>
          <w:i/>
          <w:color w:val="5A6469"/>
          <w:sz w:val="17"/>
        </w:rPr>
        <w:t xml:space="preserve">(cohorte · acceso resumen) </w:t>
      </w:r>
      <w:hyperlink r:id="rId43">
        <w:r>
          <w:rPr>
            <w:color w:val="0563C1"/>
            <w:u w:val="single"/>
            <w:sz w:val="18"/>
          </w:rPr>
          <w:t xml:space="preserve">https://doi.org/10.1128/jcm.00986-25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[r25] </w:t>
      </w:r>
      <w:r>
        <w:rPr>
          <w:sz w:val="18"/>
        </w:rPr>
        <w:t xml:space="preserve">Ceroni D, Cherkaoui A, Ferey S, Kaelin A, Schrenzel J. Kingella kingae osteoarticular infections in young children: clinical features and contribution of a new specific real-time PCR assay to the diagnosis. J Pediatr Orthop. 2010;30(3):301-4. </w:t>
      </w:r>
      <w:r>
        <w:rPr>
          <w:i/>
          <w:color w:val="5A6469"/>
          <w:sz w:val="17"/>
        </w:rPr>
        <w:t xml:space="preserve">(cohorte · acceso resumen) </w:t>
      </w:r>
      <w:hyperlink r:id="rId35">
        <w:r>
          <w:rPr>
            <w:color w:val="0563C1"/>
            <w:u w:val="single"/>
            <w:sz w:val="18"/>
          </w:rPr>
          <w:t xml:space="preserve">https://doi.org/10.1097/BPO.0b013e3181d4732f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[r28] </w:t>
      </w:r>
      <w:r>
        <w:rPr>
          <w:sz w:val="18"/>
        </w:rPr>
        <w:t xml:space="preserve">Olijve L, Amarasena L, Best E, Blyth C, van den Boom M, Bowen A, et al. The role of Kingella kingae in pre-school aged children with bone and joint infections. J Infect. 2021;83(3):321-331. </w:t>
      </w:r>
      <w:r>
        <w:rPr>
          <w:i/>
          <w:color w:val="5A6469"/>
          <w:sz w:val="17"/>
        </w:rPr>
        <w:t xml:space="preserve">(cohorte · acceso resumen) </w:t>
      </w:r>
      <w:hyperlink r:id="rId25">
        <w:r>
          <w:rPr>
            <w:color w:val="0563C1"/>
            <w:u w:val="single"/>
            <w:sz w:val="18"/>
          </w:rPr>
          <w:t xml:space="preserve">https://doi.org/10.1016/j.jinf.2021.06.028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[r32] </w:t>
      </w:r>
      <w:r>
        <w:rPr>
          <w:sz w:val="18"/>
        </w:rPr>
        <w:t xml:space="preserve">Yagupsky P. Pharyngeal Colonization by Kingella kingae, Transmission, and Pathogenesis of Invasive Infections: A Narrative Review. Microorganisms. 2022;10(3):637. </w:t>
      </w:r>
      <w:r>
        <w:rPr>
          <w:i/>
          <w:color w:val="5A6469"/>
          <w:sz w:val="17"/>
        </w:rPr>
        <w:t xml:space="preserve">(revision · acceso abierto) </w:t>
      </w:r>
      <w:hyperlink r:id="rId30">
        <w:r>
          <w:rPr>
            <w:color w:val="0563C1"/>
            <w:u w:val="single"/>
            <w:sz w:val="18"/>
          </w:rPr>
          <w:t xml:space="preserve">https://doi.org/10.3390/microorganisms10030637</w:t>
        </w:r>
      </w:hyperlink>
    </w:p>
    <w:p>
      <w:pPr>
        <w:pStyle w:val="Heading1"/>
      </w:pPr>
      <w:r>
        <w:t>Hongos: Candida y mohos</w:t>
      </w:r>
    </w:p>
    <w:p>
      <w:r>
        <w:rPr>
          <w:b/>
        </w:rPr>
        <w:t>Cuándo pensar en hongos.</w:t>
      </w:r>
      <w:r>
        <w:rPr/>
        <w:t xml:space="preserve"> Si el hongo llegó por la sangre, piensa primero en Candida, que disemina más que los otros hongos óseos [r35]; en FRI, Candida se vio con herida abierta e inmunodeficiencia [r29]. Si entró con el trauma (inoculación directa), los sospechosos son Aspergillus y otros mohos [r35]. Son raros: de 1514 registros solo 5 reportes de caso de FRI por Candida [r29]. En 268 infecciones protésicas por Candida predominó C. albicans (55,6 %), con C. parapsilosis en 29,5 % [r30].</w:t>
      </w:r>
    </w:p>
    <w:p>
      <w:r>
        <w:rPr>
          <w:b/>
        </w:rPr>
        <w:t>Diagnóstico.</w:t>
      </w:r>
      <w:r>
        <w:rPr/>
        <w:t xml:space="preserve"> En la artritis por Candida o por Aspergillus, el cultivo del líquido sinovial casi siempre encuentra al hongo [r35]. Pide micología y tejido profundo cuando el curso es tórpido, hay herida abierta, inmunosupresión o antibióticos sin respuesta (opinión experta).</w:t>
      </w:r>
    </w:p>
    <w:p>
      <w:r>
        <w:rPr>
          <w:b/>
        </w:rPr>
        <w:t>Tratamiento.</w:t>
      </w:r>
      <w:r>
        <w:rPr/>
        <w:t xml:space="preserve"> El consenso de FRI recomienda retirar todo el material extraño, usar equinocandinas (con actividad contra biofilm) y fluconazol oral de continuación si el aislado es sensible, hasta consolidar la fractura y poder quitar el implante [r2]. La guía IDSA 2016 propone para la osteomielitis fluconazol 400 mg (6 mg/kg) al día por 6 a 12 meses, o una equinocandina al menos 2 semanas seguida de fluconazol 400 mg (6 mg/kg) al día por 6 a 12 meses [r11]; para la artritis séptica, fluconazol 400 mg (6 mg/kg) al día por 6 semanas, o equinocandina 2 semanas seguida de fluconazol al menos 4 semanas [r11]. El drenaje quirúrgico está indicado en toda artritis séptica y, si hay prótesis, se retira; si no se puede, supresión crónica con fluconazol [r11].</w:t>
      </w:r>
    </w:p>
    <w:p>
      <w:r>
        <w:rPr>
          <w:b/>
        </w:rPr>
        <w:t>Resultados.</w:t>
      </w:r>
      <w:r>
        <w:rPr/>
        <w:t xml:space="preserve"> Malos. En infección protésica por Candida el fracaso global fue 43 % [r30]; en FRI por Candida, 4 de 6 casos curaron con desbridamiento amplio y antifúngico prolongado (media de 8,8 semanas), hubo reoperación en 33,3 % y la evidencia es de muy baja calidad [r29]. Cuando recae, sobre todo en la artritis por Candida, suele ser por haber tratado poco tiempo [r35].</w:t>
      </w:r>
    </w:p>
    <w:p>
      <w:pPr>
        <w:keepNext/>
      </w:pPr>
      <w:r>
        <w:rPr>
          <w:b/>
          <w:color w:val="0F5F6B"/>
          <w:sz w:val="20"/>
        </w:rPr>
        <w:t>Tabla 12. Candida: esquemas de la guía IDSA 2016</w:t>
      </w:r>
      <w:r>
        <w:rPr>
          <w:color w:val="5A6469"/>
          <w:sz w:val="18"/>
        </w:rPr>
        <w:t xml:space="preserve">  [r11]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Entidad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Esquema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Cirugía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Osteomielitis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Fluconazol 400 mg (6 mg/kg) al día por 6-12 meses, o equinocandina al menos 2 semanas seguida de fluconazol 6-12 meses [r11]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Desbridamiento en casos seleccionados [r11]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Artritis séptica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Fluconazol 400 mg (6 mg/kg) al día por 6 semanas, o equinocandina 2 semanas seguida de fluconazol al menos 4 semanas [r11]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Drenaje en todos los casos [r11]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Prótesis infectada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Igual esquema que la artritis séptica [r11]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Retirar el dispositivo; si no se puede, supresión crónica con fluconazol [r11]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[r11] </w:t>
      </w:r>
      <w:r>
        <w:rPr>
          <w:sz w:val="18"/>
        </w:rPr>
        <w:t xml:space="preserve">Pappas PG, Kauffman CA, Andes DR, Clancy CJ, Marr KA, Ostrosky-Zeichner L, et al. Clinical Practice Guideline for the Management of Candidiasis: 2016 Update by the Infectious Diseases Society of America. Clin Infect Dis. 2016;62(4):e1-50. </w:t>
      </w:r>
      <w:r>
        <w:rPr>
          <w:i/>
          <w:color w:val="5A6469"/>
          <w:sz w:val="17"/>
        </w:rPr>
        <w:t xml:space="preserve">(guia · acceso abierto) </w:t>
      </w:r>
      <w:hyperlink r:id="rId33">
        <w:r>
          <w:rPr>
            <w:color w:val="0563C1"/>
            <w:u w:val="single"/>
            <w:sz w:val="18"/>
          </w:rPr>
          <w:t xml:space="preserve">https://doi.org/10.1093/cid/civ933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[r29] </w:t>
      </w:r>
      <w:r>
        <w:rPr>
          <w:sz w:val="18"/>
        </w:rPr>
        <w:t xml:space="preserve">De Meo D, Cera G, Ceccarelli G, Castagna V, Aronica R, Pieracci EM, et al. Candida fracture-related infection: a systematic review. J Bone Jt Infect. 2021;6(7):321-328. </w:t>
      </w:r>
      <w:r>
        <w:rPr>
          <w:i/>
          <w:color w:val="5A6469"/>
          <w:sz w:val="17"/>
        </w:rPr>
        <w:t xml:space="preserve">(RS-MA · acceso abierto) </w:t>
      </w:r>
      <w:hyperlink r:id="rId26">
        <w:r>
          <w:rPr>
            <w:color w:val="0563C1"/>
            <w:u w:val="single"/>
            <w:sz w:val="18"/>
          </w:rPr>
          <w:t xml:space="preserve">https://doi.org/10.5194/jbji-6-321-2021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[r30] </w:t>
      </w:r>
      <w:r>
        <w:rPr>
          <w:sz w:val="18"/>
        </w:rPr>
        <w:t xml:space="preserve">Mamona-Kilu C, Lora-Tamayo J, McNally M, Duran C, Ho R, Scarborough M, et al. Geographical Differences in the Epidemiology and Treatment of Candida Prosthetic Joint Infections. Open Forum Infect Dis. 2026;13(4):ofag208. </w:t>
      </w:r>
      <w:r>
        <w:rPr>
          <w:i/>
          <w:color w:val="5A6469"/>
          <w:sz w:val="17"/>
        </w:rPr>
        <w:t xml:space="preserve">(cohorte · acceso abierto) </w:t>
      </w:r>
      <w:hyperlink r:id="rId27">
        <w:r>
          <w:rPr>
            <w:color w:val="0563C1"/>
            <w:u w:val="single"/>
            <w:sz w:val="18"/>
          </w:rPr>
          <w:t xml:space="preserve">https://doi.org/10.1093/ofid/ofag208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[r35] </w:t>
      </w:r>
      <w:r>
        <w:rPr>
          <w:sz w:val="18"/>
        </w:rPr>
        <w:t xml:space="preserve">Gamaletsou MN, Rammaert B, Brause B, Bueno MA, Dadwal SS, Henry MW, et al. Osteoarticular Mycoses. Clin Microbiol Rev. 2022;35(4):e0008619. </w:t>
      </w:r>
      <w:r>
        <w:rPr>
          <w:i/>
          <w:color w:val="5A6469"/>
          <w:sz w:val="17"/>
        </w:rPr>
        <w:t xml:space="preserve">(revision · acceso resumen) </w:t>
      </w:r>
      <w:hyperlink r:id="rId38">
        <w:r>
          <w:rPr>
            <w:color w:val="0563C1"/>
            <w:u w:val="single"/>
            <w:sz w:val="18"/>
          </w:rPr>
          <w:t xml:space="preserve">https://doi.org/10.1128/cmr.00086-19</w:t>
        </w:r>
      </w:hyperlink>
    </w:p>
    <w:p>
      <w:pPr>
        <w:pStyle w:val="Heading1"/>
      </w:pPr>
      <w:r>
        <w:t>Complicaciones del tratamiento y de la infección</w:t>
      </w:r>
    </w:p>
    <w:p>
      <w:r>
        <w:rPr>
          <w:b/>
        </w:rPr>
        <w:t>Fracaso y recaída.</w:t>
      </w:r>
      <w:r>
        <w:rPr/>
        <w:t xml:space="preserve"> La resistencia emerge si usas rifampicina sola, si usas fluoroquinolona sola contra un estafilococo, o si empiezas la fluoroquinolona con mucha carga bacteriana y la herida todavía drenando [r2]. Con rifampicina, la resistencia primaria llega a 20 % en SCN de algunas cohortes [r21].</w:t>
      </w:r>
    </w:p>
    <w:p>
      <w:r>
        <w:rPr>
          <w:b/>
        </w:rPr>
        <w:t>Efectos adversos de los fármacos.</w:t>
      </w:r>
      <w:r>
        <w:rPr/>
        <w:t xml:space="preserve"> En OVIVA, las complicaciones del catéter fueron 9,4 % con IV y 1,0 % con oral [r1], y C. difficile 1,7 % frente a 1,0 % [r1]. En ARREST, los eventos adversos que obligaron a cambiar el tratamiento fueron 17 % con rifampicina y 10 % con placebo, y las interacciones fueron 6 % frente a 2 % [r22]. El linezolid exige hemograma y lactato semanales por riesgo de pancitopenia, acidosis láctica y neurotoxicidad [r2]. Las fluoroquinolonas traen tendinitis aquílea y fotosensibilidad; los glucopéptidos, nefrotoxicidad [r2].</w:t>
      </w:r>
    </w:p>
    <w:p>
      <w:r>
        <w:rPr>
          <w:b/>
        </w:rPr>
        <w:t>Monitoreo.</w:t>
      </w:r>
      <w:r>
        <w:rPr/>
        <w:t xml:space="preserve"> Todo paciente con antibiótico IV necesita hemograma, electrolitos, función hepática y renal basales, y control al menos semanal en la fase aguda [r2].</w:t>
      </w:r>
    </w:p>
    <w:p>
      <w:r>
        <w:rPr>
          <w:b/>
        </w:rPr>
        <w:t>De la infección.</w:t>
      </w:r>
      <w:r>
        <w:rPr/>
        <w:t xml:space="preserve"> Recurrencia de FRI por P. aeruginosa 15,6 % y amputación 6,1 % [r27]; en PJI por P. aeruginosa el libre de reinfección cae de 95 % a los 12 meses a 22,4 % a los 10 años [r44]; en PJI por Candida el fracaso es 43 % [r30].</w:t>
      </w:r>
    </w:p>
    <w:p>
      <w:pPr>
        <w:keepNext/>
      </w:pPr>
      <w:r>
        <w:rPr>
          <w:b/>
          <w:color w:val="0F5F6B"/>
          <w:sz w:val="20"/>
        </w:rPr>
        <w:t>Tabla 13. Riesgos por fármaco y qué vigilar</w:t>
      </w:r>
      <w:r>
        <w:rPr>
          <w:color w:val="5A6469"/>
          <w:sz w:val="18"/>
        </w:rPr>
        <w:t xml:space="preserve">  [r2] [r3] [r40]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Fármaco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Riesgo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Qué vigilar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Rifampicina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Interacciones (inductor del citocromo P450), resistencia si va sola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Hígado al inicio y si hay síntomas [r2]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Linezolid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Pancitopenia, acidosis láctica, neurotoxicidad, interacción con psicofármacos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Hemograma y lactato semanales [r2]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Fluoroquinolonas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Tendinitis aquílea, fotosensibilidad, resistencia si hay carga alta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Iniciar tras desbridar [r2]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Glucopéptidos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Nefrotoxicidad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Función renal y niveles (AUC/MIC 400-600 o valle 15-20 mg/L) [r40][r3]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Colistina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Nefrotoxicidad alta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Función renal y niveles; asesoría experta [r2]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Figura 16. Complicaciones del catéter en infección ósea o articular (OVIVA)</w:t>
      </w:r>
      <w:r>
        <w:rPr>
          <w:color w:val="5A6469"/>
          <w:sz w:val="18"/>
        </w:rPr>
        <w:t xml:space="preserve">  [r1]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6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17. Eventos adversos que obligaron a cambiar el tratamiento en bacteriemia por S. aureus (ARREST)</w:t>
      </w:r>
      <w:r>
        <w:rPr>
          <w:color w:val="5A6469"/>
          <w:sz w:val="18"/>
        </w:rPr>
        <w:t xml:space="preserve">  [r22]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7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[r3] </w:t>
      </w:r>
      <w:r>
        <w:rPr>
          <w:sz w:val="18"/>
        </w:rPr>
        <w:t xml:space="preserve">Brown NM, Goodman AL, Horner C, Jenkins A, Brown EM. Treatment of methicillin-resistant Staphylococcus aureus (MRSA): updated guidelines from the UK. JAC Antimicrob Resist. 2021;3(1):dlaa114. </w:t>
      </w:r>
      <w:r>
        <w:rPr>
          <w:i/>
          <w:color w:val="5A6469"/>
          <w:sz w:val="17"/>
        </w:rPr>
        <w:t xml:space="preserve">(guia · acceso abierto) </w:t>
      </w:r>
      <w:hyperlink r:id="rId31">
        <w:r>
          <w:rPr>
            <w:color w:val="0563C1"/>
            <w:u w:val="single"/>
            <w:sz w:val="18"/>
          </w:rPr>
          <w:t xml:space="preserve">https://doi.org/10.1093/jacamr/dlaa114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[r22] </w:t>
      </w:r>
      <w:r>
        <w:rPr>
          <w:sz w:val="18"/>
        </w:rPr>
        <w:t xml:space="preserve">Thwaites GE, Scarborough M, Szubert A, Nsutebu E, Tilley R, Greig J, et al. Adjunctive rifampicin for Staphylococcus aureus bacteraemia (ARREST): a multicentre, randomised, double-blind, placebo-controlled trial. Lancet. 2018;391(10121):668-678. </w:t>
      </w:r>
      <w:r>
        <w:rPr>
          <w:i/>
          <w:color w:val="5A6469"/>
          <w:sz w:val="17"/>
        </w:rPr>
        <w:t xml:space="preserve">(ECA · acceso resumen) </w:t>
      </w:r>
      <w:hyperlink r:id="rId53">
        <w:r>
          <w:rPr>
            <w:color w:val="0563C1"/>
            <w:u w:val="single"/>
            <w:sz w:val="18"/>
          </w:rPr>
          <w:t xml:space="preserve">https://doi.org/10.1016/S0140-6736(17)32456-X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[r27] </w:t>
      </w:r>
      <w:r>
        <w:rPr>
          <w:sz w:val="18"/>
        </w:rPr>
        <w:t xml:space="preserve">Wu H, Yu S, Sun D, Wang S, Wang X, Fu J, et al. Clinical characteristics and risk factors of recurrence for Pseudomonas aeruginosa-associated fracture-related infection following surgical treatment : a 12-year retrospective cohort study. Bone Jt Open. 2026;7(9):1194-1203. </w:t>
      </w:r>
      <w:r>
        <w:rPr>
          <w:i/>
          <w:color w:val="5A6469"/>
          <w:sz w:val="17"/>
        </w:rPr>
        <w:t xml:space="preserve">(cohorte · acceso abierto) </w:t>
      </w:r>
      <w:hyperlink r:id="rId24">
        <w:r>
          <w:rPr>
            <w:color w:val="0563C1"/>
            <w:u w:val="single"/>
            <w:sz w:val="18"/>
          </w:rPr>
          <w:t xml:space="preserve">https://doi.org/10.1302/2633-1462.79.BJO-2026-0015.R1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[r30] </w:t>
      </w:r>
      <w:r>
        <w:rPr>
          <w:sz w:val="18"/>
        </w:rPr>
        <w:t xml:space="preserve">Mamona-Kilu C, Lora-Tamayo J, McNally M, Duran C, Ho R, Scarborough M, et al. Geographical Differences in the Epidemiology and Treatment of Candida Prosthetic Joint Infections. Open Forum Infect Dis. 2026;13(4):ofag208. </w:t>
      </w:r>
      <w:r>
        <w:rPr>
          <w:i/>
          <w:color w:val="5A6469"/>
          <w:sz w:val="17"/>
        </w:rPr>
        <w:t xml:space="preserve">(cohorte · acceso abierto) </w:t>
      </w:r>
      <w:hyperlink r:id="rId27">
        <w:r>
          <w:rPr>
            <w:color w:val="0563C1"/>
            <w:u w:val="single"/>
            <w:sz w:val="18"/>
          </w:rPr>
          <w:t xml:space="preserve">https://doi.org/10.1093/ofid/ofag208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[r40] </w:t>
      </w:r>
      <w:r>
        <w:rPr>
          <w:sz w:val="18"/>
        </w:rPr>
        <w:t xml:space="preserve">Rybak MJ, Le J, Lodise TP, Levine DP, Bradley JS, Liu C, et al. Therapeutic Monitoring of Vancomycin for Serious Methicillin-resistant Staphylococcus aureus Infections: A Revised Consensus Guideline and Review by the American Society of Health-system Pharmacists, the Infectious Diseases Society of America, the Pediatric Infectious Diseases Society, and the Society of Infectious Diseases Pharmacists. Clin Infect Dis. 2020;71(6):1361-1364. </w:t>
      </w:r>
      <w:r>
        <w:rPr>
          <w:i/>
          <w:color w:val="5A6469"/>
          <w:sz w:val="17"/>
        </w:rPr>
        <w:t xml:space="preserve">(guia · acceso resumen) </w:t>
      </w:r>
      <w:hyperlink r:id="rId58">
        <w:r>
          <w:rPr>
            <w:color w:val="0563C1"/>
            <w:u w:val="single"/>
            <w:sz w:val="18"/>
          </w:rPr>
          <w:t xml:space="preserve">https://doi.org/10.1093/cid/ciaa303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[r44] </w:t>
      </w:r>
      <w:r>
        <w:rPr>
          <w:sz w:val="18"/>
        </w:rPr>
        <w:t xml:space="preserve">Akcicek E, Mitterer JA, Achatz V, Szirmay T, Sebastian S, Hofstaetter JG. High failure rate in Pseudomonas aeruginosa-associated periprosthetic hip and knee joint infections. J Bone Jt Infect. 2026;11(1):83-94. </w:t>
      </w:r>
      <w:r>
        <w:rPr>
          <w:i/>
          <w:color w:val="5A6469"/>
          <w:sz w:val="17"/>
        </w:rPr>
        <w:t xml:space="preserve">(cohorte · acceso abierto) </w:t>
      </w:r>
      <w:hyperlink r:id="rId66">
        <w:r>
          <w:rPr>
            <w:color w:val="0563C1"/>
            <w:u w:val="single"/>
            <w:sz w:val="18"/>
          </w:rPr>
          <w:t xml:space="preserve">https://doi.org/10.5194/jbji-11-83-2026</w:t>
        </w:r>
      </w:hyperlink>
    </w:p>
    <w:p>
      <w:pPr>
        <w:pStyle w:val="Heading1"/>
      </w:pPr>
      <w:r>
        <w:t>Pronóstico: qué esperar según el germen y la estrategia</w:t>
      </w:r>
    </w:p>
    <w:p>
      <w:r>
        <w:rPr>
          <w:b/>
        </w:rPr>
        <w:t>S. aureus.</w:t>
      </w:r>
      <w:r>
        <w:rPr/>
        <w:t xml:space="preserve"> MSSA y MRSA logran éxitos comparables con rifampicina cuando el antibiótico acompañante está bien elegido [r21]. El DAIR en infección protésica temprana cura 46 % con 1 desbridamiento y 52 % con varios [r16]; en la hematógena aguda, entre 50 y 70 % [r16]. En infección protésica por cualquier germen (DATIPO), con 6 semanas en lugar de 12 la infección persistente fue 18,1 % frente a 9,4 % [r37].</w:t>
      </w:r>
    </w:p>
    <w:p>
      <w:r>
        <w:rPr>
          <w:b/>
        </w:rPr>
        <w:t>SCN.</w:t>
      </w:r>
      <w:r>
        <w:rPr/>
        <w:t xml:space="preserve"> En el metaanálisis de Scheper, el éxito fue mayor en SCN (cadera 83 %, rodilla 73 %) que en S. aureus (cadera 69 %, rodilla 54 %) [r21]; la resistencia a rifampicina cambia el pronóstico [r21].</w:t>
      </w:r>
    </w:p>
    <w:p>
      <w:r>
        <w:rPr>
          <w:b/>
        </w:rPr>
        <w:t>Gram negativos y Pseudomonas.</w:t>
      </w:r>
      <w:r>
        <w:rPr/>
        <w:t xml:space="preserve"> Remisión de 74,5 % en PJI aguda por Gram negativos con DAIR [r43]; éxito de 46 % en PJI por P. aeruginosa [r44]; control inicial de 89,8 % y recurrencia de 15,6 % en FRI por P. aeruginosa [r27].</w:t>
      </w:r>
    </w:p>
    <w:p>
      <w:r>
        <w:rPr>
          <w:b/>
        </w:rPr>
        <w:t>Hongos.</w:t>
      </w:r>
      <w:r>
        <w:rPr/>
        <w:t xml:space="preserve"> Fracaso de 43 % en PJI por Candida [r30].</w:t>
      </w:r>
    </w:p>
    <w:p>
      <w:r>
        <w:rPr>
          <w:b/>
        </w:rPr>
        <w:t>Osteomielitis vertebral.</w:t>
      </w:r>
      <w:r>
        <w:rPr/>
        <w:t xml:space="preserve"> Cura de 90,9 % con 6 o con 12 semanas en la serie de Bernard [r38].</w:t>
      </w:r>
    </w:p>
    <w:p>
      <w:r>
        <w:rPr>
          <w:b/>
        </w:rPr>
        <w:t>Seguimiento.</w:t>
      </w:r>
      <w:r>
        <w:rPr/>
        <w:t xml:space="preserve"> El pronóstico se ve mejor si el desbridamiento es temprano, hay un antibiótico antibiofilm disponible y el germen se confirmó con buenas muestras [r2].</w:t>
      </w:r>
    </w:p>
    <w:p>
      <w:pPr>
        <w:keepNext/>
      </w:pPr>
      <w:r>
        <w:rPr>
          <w:b/>
          <w:color w:val="0F5F6B"/>
          <w:sz w:val="20"/>
        </w:rPr>
        <w:t>Figura 18. Éxito o remisión según germen y estrategia en las series citadas</w:t>
      </w:r>
      <w:r>
        <w:rPr>
          <w:color w:val="5A6469"/>
          <w:sz w:val="18"/>
        </w:rPr>
        <w:t xml:space="preserve">  [r16] [r43] [r44] [r27] [r38]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8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Figura 19. Fracaso o recurrencia en las series citadas</w:t>
      </w:r>
      <w:r>
        <w:rPr>
          <w:color w:val="5A6469"/>
          <w:sz w:val="18"/>
        </w:rPr>
        <w:t xml:space="preserve">  [r30] [r27] [r1]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9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[r16] </w:t>
      </w:r>
      <w:r>
        <w:rPr>
          <w:sz w:val="18"/>
        </w:rPr>
        <w:t xml:space="preserve">Tong SY, Davis JS, Eichenberger E, Holland TL, Fowler VG Jr. Staphylococcus aureus infections: epidemiology, pathophysiology, clinical manifestations, and management. Clin Microbiol Rev. 2015;28(3):603-61. </w:t>
      </w:r>
      <w:r>
        <w:rPr>
          <w:i/>
          <w:color w:val="5A6469"/>
          <w:sz w:val="17"/>
        </w:rPr>
        <w:t xml:space="preserve">(revision · acceso abierto) </w:t>
      </w:r>
      <w:hyperlink r:id="rId11">
        <w:r>
          <w:rPr>
            <w:color w:val="0563C1"/>
            <w:u w:val="single"/>
            <w:sz w:val="18"/>
          </w:rPr>
          <w:t xml:space="preserve">https://doi.org/10.1128/CMR.00134-14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[r27] </w:t>
      </w:r>
      <w:r>
        <w:rPr>
          <w:sz w:val="18"/>
        </w:rPr>
        <w:t xml:space="preserve">Wu H, Yu S, Sun D, Wang S, Wang X, Fu J, et al. Clinical characteristics and risk factors of recurrence for Pseudomonas aeruginosa-associated fracture-related infection following surgical treatment : a 12-year retrospective cohort study. Bone Jt Open. 2026;7(9):1194-1203. </w:t>
      </w:r>
      <w:r>
        <w:rPr>
          <w:i/>
          <w:color w:val="5A6469"/>
          <w:sz w:val="17"/>
        </w:rPr>
        <w:t xml:space="preserve">(cohorte · acceso abierto) </w:t>
      </w:r>
      <w:hyperlink r:id="rId24">
        <w:r>
          <w:rPr>
            <w:color w:val="0563C1"/>
            <w:u w:val="single"/>
            <w:sz w:val="18"/>
          </w:rPr>
          <w:t xml:space="preserve">https://doi.org/10.1302/2633-1462.79.BJO-2026-0015.R1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[r30] </w:t>
      </w:r>
      <w:r>
        <w:rPr>
          <w:sz w:val="18"/>
        </w:rPr>
        <w:t xml:space="preserve">Mamona-Kilu C, Lora-Tamayo J, McNally M, Duran C, Ho R, Scarborough M, et al. Geographical Differences in the Epidemiology and Treatment of Candida Prosthetic Joint Infections. Open Forum Infect Dis. 2026;13(4):ofag208. </w:t>
      </w:r>
      <w:r>
        <w:rPr>
          <w:i/>
          <w:color w:val="5A6469"/>
          <w:sz w:val="17"/>
        </w:rPr>
        <w:t xml:space="preserve">(cohorte · acceso abierto) </w:t>
      </w:r>
      <w:hyperlink r:id="rId27">
        <w:r>
          <w:rPr>
            <w:color w:val="0563C1"/>
            <w:u w:val="single"/>
            <w:sz w:val="18"/>
          </w:rPr>
          <w:t xml:space="preserve">https://doi.org/10.1093/ofid/ofag208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[r37] </w:t>
      </w:r>
      <w:r>
        <w:rPr>
          <w:sz w:val="18"/>
        </w:rPr>
        <w:t xml:space="preserve">Bernard L, Arvieux C, Brunschweiler B, Touchais S, Ansart S, Bru JP, et al. Antibiotic Therapy for 6 or 12 Weeks for Prosthetic Joint Infection. N Engl J Med. 2021;384(21):1991-2001. </w:t>
      </w:r>
      <w:r>
        <w:rPr>
          <w:i/>
          <w:color w:val="5A6469"/>
          <w:sz w:val="17"/>
        </w:rPr>
        <w:t xml:space="preserve">(ECA · acceso resumen) </w:t>
      </w:r>
      <w:hyperlink r:id="rId55">
        <w:r>
          <w:rPr>
            <w:color w:val="0563C1"/>
            <w:u w:val="single"/>
            <w:sz w:val="18"/>
          </w:rPr>
          <w:t xml:space="preserve">https://doi.org/10.1056/NEJMoa2020198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[r38] </w:t>
      </w:r>
      <w:r>
        <w:rPr>
          <w:sz w:val="18"/>
        </w:rPr>
        <w:t xml:space="preserve">Bernard L, Dinh A, Ghout I, Simo D, Zeller V, Issartel B, et al. Antibiotic treatment for 6 weeks versus 12 weeks in patients with pyogenic vertebral osteomyelitis: an open-label, non-inferiority, randomised, controlled trial. Lancet. 2015;385(9971):875-82. </w:t>
      </w:r>
      <w:r>
        <w:rPr>
          <w:i/>
          <w:color w:val="5A6469"/>
          <w:sz w:val="17"/>
        </w:rPr>
        <w:t xml:space="preserve">(ECA · acceso resumen) </w:t>
      </w:r>
      <w:hyperlink r:id="rId56">
        <w:r>
          <w:rPr>
            <w:color w:val="0563C1"/>
            <w:u w:val="single"/>
            <w:sz w:val="18"/>
          </w:rPr>
          <w:t xml:space="preserve">https://doi.org/10.1016/S0140-6736(14)61233-2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[r43] </w:t>
      </w:r>
      <w:r>
        <w:rPr>
          <w:sz w:val="18"/>
        </w:rPr>
        <w:t xml:space="preserve">Martínez-Pastor JC, Muñoz-Mahamud E, Vilchez F, García-Ramiro S, Bori G, Sierra J, et al. Outcome of acute prosthetic joint infections due to gram-negative bacilli treated with open debridement and retention of the prosthesis. Antimicrob Agents Chemother. 2009;53(11):4772-7. </w:t>
      </w:r>
      <w:r>
        <w:rPr>
          <w:i/>
          <w:color w:val="5A6469"/>
          <w:sz w:val="17"/>
        </w:rPr>
        <w:t xml:space="preserve">(cohorte · acceso abierto) </w:t>
      </w:r>
      <w:hyperlink r:id="rId65">
        <w:r>
          <w:rPr>
            <w:color w:val="0563C1"/>
            <w:u w:val="single"/>
            <w:sz w:val="18"/>
          </w:rPr>
          <w:t xml:space="preserve">https://doi.org/10.1128/AAC.00188-09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[r44] </w:t>
      </w:r>
      <w:r>
        <w:rPr>
          <w:sz w:val="18"/>
        </w:rPr>
        <w:t xml:space="preserve">Akcicek E, Mitterer JA, Achatz V, Szirmay T, Sebastian S, Hofstaetter JG. High failure rate in Pseudomonas aeruginosa-associated periprosthetic hip and knee joint infections. J Bone Jt Infect. 2026;11(1):83-94. </w:t>
      </w:r>
      <w:r>
        <w:rPr>
          <w:i/>
          <w:color w:val="5A6469"/>
          <w:sz w:val="17"/>
        </w:rPr>
        <w:t xml:space="preserve">(cohorte · acceso abierto) </w:t>
      </w:r>
      <w:hyperlink r:id="rId66">
        <w:r>
          <w:rPr>
            <w:color w:val="0563C1"/>
            <w:u w:val="single"/>
            <w:sz w:val="18"/>
          </w:rPr>
          <w:t xml:space="preserve">https://doi.org/10.5194/jbji-11-83-2026</w:t>
        </w:r>
      </w:hyperlink>
    </w:p>
    <w:p>
      <w:pPr>
        <w:pStyle w:val="Heading1"/>
      </w:pPr>
      <w:r>
        <w:t>Fracaso del tratamiento y cuándo consultar a infectología</w:t>
      </w:r>
    </w:p>
    <w:p>
      <w:r>
        <w:rPr>
          <w:b/>
        </w:rPr>
        <w:t>Qué es fracasar.</w:t>
      </w:r>
      <w:r>
        <w:rPr/>
        <w:t xml:space="preserve"> Un estudio de infección protésica lo definió como necesidad de más cirugía, de supresión antibiótica o muerte por la infección dentro de 12 meses de la cirugía índice [r31]. Antes de culpar al germen, revisa lo evitable: colección sin drenar, antibiótico sin actividad antibiofilm, muestras escasas o germen no cubierto (opinión experta).</w:t>
      </w:r>
    </w:p>
    <w:p>
      <w:r>
        <w:rPr>
          <w:b/>
        </w:rPr>
        <w:t>Cuándo llamar.</w:t>
      </w:r>
      <w:r>
        <w:rPr/>
        <w:t xml:space="preserve"> Llama a infectología desde el principio si el germen es multirresistente o raro, si no puedes dar un antibiótico antibiofilm, si hay hongo, o si el paciente no mejora. El consenso de FRI pide asesoría experta de microbiología para infecciones por Gram negativos productores de carbapenemasas, Acinetobacter y no fermentadores multirresistentes [r2]. Si el cultivo es negativo con infección confirmada, considera sonicado o PCR y cubre los gérmenes más probables [r2]. Sin infección confirmada y con cultivos negativos, es preferible no dar antibiótico empírico y repetir las muestras [r2].</w:t>
      </w:r>
    </w:p>
    <w:p>
      <w:r>
        <w:rPr>
          <w:b/>
        </w:rPr>
        <w:t>Qué cambia en la decisión.</w:t>
      </w:r>
      <w:r>
        <w:rPr/>
        <w:t xml:space="preserve"> Cuando no se puede dar un antibiótico antibiofilm (resistencia, intolerancia, interacción), la infección se clasifica como difícil de tratar y quizá solo se suprima mientras el implante siga [r2]. Los pacientes que no pudieron recibir rifampicina por interacciones tuvieron menos curación [r21].</w:t>
      </w:r>
    </w:p>
    <w:p>
      <w:pPr>
        <w:keepNext/>
      </w:pPr>
      <w:r>
        <w:rPr>
          <w:b/>
          <w:color w:val="0F5F6B"/>
          <w:sz w:val="20"/>
        </w:rPr>
        <w:t>Tabla 14. Señal de alarma, qué suele pasar y qué hacer</w:t>
      </w:r>
      <w:r>
        <w:rPr>
          <w:color w:val="5A6469"/>
          <w:sz w:val="18"/>
        </w:rPr>
        <w:t xml:space="preserve">  [r2] [r21]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Señal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Qué suele estar pasando</w:t>
            </w:r>
          </w:p>
        </w:tc>
        <w:tc>
          <w:tcPr>
            <w:tcW w:type="dxa" w:w="3137"/>
            <w:shd w:val="clear" w:color="auto" w:fill="0F5F6B"/>
          </w:tcPr>
          <w:p>
            <w:r/>
            <w:r>
              <w:rPr>
                <w:b/>
                <w:color w:val="FFFFFF"/>
                <w:sz w:val="20"/>
              </w:rPr>
              <w:t>Qué hacer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Fiebre o drenaje persistentes tras el desbridamiento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Colección sin drenar o germen no cubierto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Reimagen, reoperar si hace falta y revisar cultivos con infectología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Cultivo negativo con infección confirmada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Antibiótico previo, menos de 3 muestras, germen lento o difícil [r2]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Sonicado o PCR, cobertura empírica de los más probables y consulta [r2]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Resistencia a quinolona o a rifampicina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Sin antibiótico antibiofilm posible [r2]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Supresión hasta consolidar y consulta de infectología [r2]</w:t>
            </w:r>
          </w:p>
        </w:tc>
      </w:tr>
      <w:tr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Hongo o Gram negativo multirresistente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Infección difícil de tratar</w:t>
            </w:r>
          </w:p>
        </w:tc>
        <w:tc>
          <w:tcPr>
            <w:tcW w:type="dxa" w:w="3137"/>
            <w:shd w:val="clear" w:color="auto" w:fill="EEF3F4"/>
          </w:tcPr>
          <w:p>
            <w:r/>
            <w:r>
              <w:rPr>
                <w:sz w:val="20"/>
              </w:rPr>
              <w:t>Asesoría de microbiología y de infectología [r2]</w:t>
            </w:r>
          </w:p>
        </w:tc>
      </w:tr>
      <w:tr>
        <w:tc>
          <w:tcPr>
            <w:tcW w:type="dxa" w:w="3137"/>
          </w:tcPr>
          <w:p>
            <w:r/>
            <w:r>
              <w:rPr>
                <w:sz w:val="20"/>
              </w:rPr>
              <w:t>Intolerancia o interacción con rifampicina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Menos curación [r21]</w:t>
            </w:r>
          </w:p>
        </w:tc>
        <w:tc>
          <w:tcPr>
            <w:tcW w:type="dxa" w:w="3137"/>
          </w:tcPr>
          <w:p>
            <w:r/>
            <w:r>
              <w:rPr>
                <w:sz w:val="20"/>
              </w:rPr>
              <w:t>Revisar pareja y duración con infectología</w:t>
            </w:r>
          </w:p>
        </w:tc>
      </w:tr>
    </w:tbl>
    <w:p/>
    <w:p>
      <w:pPr>
        <w:keepNext/>
      </w:pPr>
      <w:r>
        <w:rPr>
          <w:b/>
          <w:color w:val="0F5F6B"/>
          <w:sz w:val="20"/>
        </w:rPr>
        <w:t>Referencias de este bloque</w:t>
      </w:r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[r31] </w:t>
      </w:r>
      <w:r>
        <w:rPr>
          <w:sz w:val="18"/>
        </w:rPr>
        <w:t xml:space="preserve">Tedeschi S, Fernandez-Sampedro M, Zamparini E, Rossi N, Ferraro G, Pecorelli A, et al. Gram-negative aetiology in hip and knee prosthetic joint infections: risk factors and implications for empirical antibiotic therapy-a retrospective cohort study. JAC Antimicrob Resist. 2026;8(5):dlag206. </w:t>
      </w:r>
      <w:r>
        <w:rPr>
          <w:i/>
          <w:color w:val="5A6469"/>
          <w:sz w:val="17"/>
        </w:rPr>
        <w:t xml:space="preserve">(cohorte · acceso abierto) </w:t>
      </w:r>
      <w:hyperlink r:id="rId28">
        <w:r>
          <w:rPr>
            <w:color w:val="0563C1"/>
            <w:u w:val="single"/>
            <w:sz w:val="18"/>
          </w:rPr>
          <w:t xml:space="preserve">https://doi.org/10.1093/jacamr/dlag206</w:t>
        </w:r>
      </w:hyperlink>
    </w:p>
    <w:p>
      <w:pPr>
        <w:pStyle w:val="Heading1"/>
      </w:pPr>
      <w:r>
        <w:t>Perlas y trampas</w:t>
      </w:r>
    </w:p>
    <w:p>
      <w:pPr>
        <w:pStyle w:val="Heading2"/>
      </w:pPr>
      <w:r>
        <w:t>Perlas</w:t>
      </w:r>
    </w:p>
    <w:p>
      <w:pPr>
        <w:pStyle w:val="ListBullet"/>
      </w:pPr>
      <w:r>
        <w:rPr/>
        <w:t>Si un SCN aparece en 1 sola muestra, piensa en contaminante; si aparece en 2 muestras con el mismo antibiograma, piensa en infección [r13][r18].</w:t>
      </w:r>
    </w:p>
    <w:p>
      <w:pPr>
        <w:pStyle w:val="ListBullet"/>
      </w:pPr>
      <w:r>
        <w:rPr/>
        <w:t>Una dosis de profilaxis antes de la incisión no bajó el rendimiento de los cultivos: el mismo germen apareció en 82 % con profilaxis antes y 81 % después de tomar las muestras [r19].</w:t>
      </w:r>
    </w:p>
    <w:p>
      <w:pPr>
        <w:pStyle w:val="ListBullet"/>
      </w:pPr>
      <w:r>
        <w:rPr/>
        <w:t>Cuando el cultivo de tejido no crece, el sonicado del implante suma casos: juntos detectaron germen en 70,1 % de las FRI [r20].</w:t>
      </w:r>
    </w:p>
    <w:p>
      <w:pPr>
        <w:pStyle w:val="ListBullet"/>
      </w:pPr>
      <w:r>
        <w:rPr/>
        <w:t>Antes de cubrir MRSA a ciegas, mira tu epidemiología: en pie diabético de Latinoamérica, 37,8 % de los S. aureus aislados fueron MRSA (estimación agrupada) [r15].</w:t>
      </w:r>
    </w:p>
    <w:p>
      <w:pPr>
        <w:pStyle w:val="ListBullet"/>
      </w:pPr>
      <w:r>
        <w:rPr/>
        <w:t>La pareja de la rifampicina importa: en una cohorte, cotrimoxazol con rifampicina falló 38 % y clindamicina o fluoroquinolona con rifampicina, 14 % [r21].</w:t>
      </w:r>
    </w:p>
    <w:p>
      <w:pPr>
        <w:pStyle w:val="ListBullet"/>
      </w:pPr>
      <w:r>
        <w:rPr/>
        <w:t>Mordedura de mano y diente contra puño: piensa en articulación metacarpofalángica y falanges proximales antes que en la piel [r7].</w:t>
      </w:r>
    </w:p>
    <w:p>
      <w:pPr>
        <w:pStyle w:val="ListBullet"/>
      </w:pPr>
      <w:r>
        <w:rPr/>
        <w:t>La resistencia a rifampicina cambia el pronóstico: tras recambio en 2 tiempos curó 92,5 % si el germen era sensible y 60,0 % si era resistente [r21].</w:t>
      </w:r>
    </w:p>
    <w:p>
      <w:pPr>
        <w:pStyle w:val="Heading2"/>
      </w:pPr>
      <w:r>
        <w:t>Trampas</w:t>
      </w:r>
    </w:p>
    <w:p>
      <w:pPr>
        <w:pStyle w:val="ListBullet"/>
      </w:pPr>
      <w:r>
        <w:rPr/>
        <w:t>Mandar a cultivo un hisopo de fístula: crece flora que no predice el germen del hueso [r4].</w:t>
      </w:r>
    </w:p>
    <w:p>
      <w:pPr>
        <w:pStyle w:val="ListBullet"/>
      </w:pPr>
      <w:r>
        <w:rPr/>
        <w:t>Dar rifampicina "de refuerzo" en toda bacteriemia por S. aureus: ARREST no mostró beneficio (17 % vs 18 % de falla, recaída o muerte) y sí más eventos adversos [r22].</w:t>
      </w:r>
    </w:p>
    <w:p>
      <w:pPr>
        <w:pStyle w:val="ListBullet"/>
      </w:pPr>
      <w:r>
        <w:rPr/>
        <w:t>Usar fluoroquinolona sola contra un estafilococo: selecciona resistencia con rapidez [r2].</w:t>
      </w:r>
    </w:p>
    <w:p>
      <w:pPr>
        <w:pStyle w:val="ListBullet"/>
      </w:pPr>
      <w:r>
        <w:rPr/>
        <w:t>Cerrar de primera una mordedura de mano, una mordedura humana o una punción profunda de gato [r7].</w:t>
      </w:r>
    </w:p>
    <w:p>
      <w:pPr>
        <w:pStyle w:val="ListBullet"/>
      </w:pPr>
      <w:r>
        <w:rPr/>
        <w:t>Tratar una mordedura infectada con flucloxacilina, cefalosporina de primera generación, eritromicina o clindamicina solas [r7].</w:t>
      </w:r>
    </w:p>
    <w:p>
      <w:pPr>
        <w:pStyle w:val="ListBullet"/>
      </w:pPr>
      <w:r>
        <w:rPr/>
        <w:t>Dar por resuelto que cefazolina y flucloxacilina son iguales en hueso solo porque SNAP lo mostró en bacteriemia: aún no hay análisis publicados por foco óseo [r23][r24].</w:t>
      </w:r>
    </w:p>
    <w:p>
      <w:pPr>
        <w:pStyle w:val="ListBullet"/>
      </w:pPr>
      <w:r>
        <w:rPr/>
        <w:t>Descartar Kingella porque el niño está sin fiebre y con proteína C reactiva normal: 39 % de los niños con Kingella la tenía normal [r25].</w:t>
      </w:r>
    </w:p>
    <w:p>
      <w:pPr>
        <w:pStyle w:val="ListBullet"/>
      </w:pPr>
      <w:r>
        <w:rPr/>
        <w:t>Confiar en el antibiograma de rifampicina sin pedirlo: la resistencia primaria llega a 20 % en SCN de algunas cohortes [r21].</w:t>
      </w:r>
    </w:p>
    <w:p>
      <w:pPr>
        <w:pStyle w:val="Heading1"/>
      </w:pPr>
      <w:r>
        <w:t>Preguntas de autoevaluación</w:t>
      </w:r>
    </w:p>
    <w:p>
      <w:pPr>
        <w:keepNext/>
      </w:pPr>
      <w:r>
        <w:rPr>
          <w:b/>
        </w:rPr>
        <w:t>1. En OVIVA, entre 1003 pacientes con infección ósea o articular compleja y datos microbiológicos, ¿qué germen fue el más frecuente?</w:t>
      </w:r>
    </w:p>
    <w:p>
      <w:pPr>
        <w:spacing w:after="20"/>
        <w:ind w:left="454"/>
      </w:pPr>
      <w:r>
        <w:t>a) Pseudomonas aeruginosa</w:t>
      </w:r>
    </w:p>
    <w:p>
      <w:pPr>
        <w:spacing w:after="20"/>
        <w:ind w:left="454"/>
      </w:pPr>
      <w:r>
        <w:t>b) Staphylococcus aureus</w:t>
      </w:r>
    </w:p>
    <w:p>
      <w:pPr>
        <w:spacing w:after="20"/>
        <w:ind w:left="454"/>
      </w:pPr>
      <w:r>
        <w:t>c) Estreptococos</w:t>
      </w:r>
    </w:p>
    <w:p>
      <w:pPr>
        <w:spacing w:after="20"/>
        <w:ind w:left="454"/>
      </w:pPr>
      <w:r>
        <w:t>d) Otros Gram negativos</w:t>
      </w:r>
    </w:p>
    <w:p>
      <w:r>
        <w:rPr>
          <w:b/>
        </w:rPr>
        <w:t xml:space="preserve">Respuesta: b. </w:t>
      </w:r>
      <w:r>
        <w:rPr/>
        <w:t>S. aureus apareció en 37,7 %, seguido de los SCN con 27,1 %; Pseudomonas fue 5,1 % [r1].</w:t>
      </w:r>
    </w:p>
    <w:p>
      <w:pPr>
        <w:keepNext/>
      </w:pPr>
      <w:r>
        <w:rPr>
          <w:b/>
        </w:rPr>
        <w:t>2. En una revisión de prótesis de hombro crece Cutibacterium acnes en 1 de 5 muestras profundas. ¿Qué haces?</w:t>
      </w:r>
    </w:p>
    <w:p>
      <w:pPr>
        <w:spacing w:after="20"/>
        <w:ind w:left="454"/>
      </w:pPr>
      <w:r>
        <w:t>a) Lo trato como infección confirmada</w:t>
      </w:r>
    </w:p>
    <w:p>
      <w:pPr>
        <w:spacing w:after="20"/>
        <w:ind w:left="454"/>
      </w:pPr>
      <w:r>
        <w:t>b) Lo descarto siempre como contaminante</w:t>
      </w:r>
    </w:p>
    <w:p>
      <w:pPr>
        <w:spacing w:after="20"/>
        <w:ind w:left="454"/>
      </w:pPr>
      <w:r>
        <w:t>c) No confirma por sí solo: lo interpreto con clínica, histología y el resto de las muestras</w:t>
      </w:r>
    </w:p>
    <w:p>
      <w:pPr>
        <w:spacing w:after="20"/>
        <w:ind w:left="454"/>
      </w:pPr>
      <w:r>
        <w:t>d) Repito solo el hisopo de la herida</w:t>
      </w:r>
    </w:p>
    <w:p>
      <w:r>
        <w:rPr>
          <w:b/>
        </w:rPr>
        <w:t xml:space="preserve">Respuesta: c. </w:t>
      </w:r>
      <w:r>
        <w:rPr/>
        <w:t>Un cultivo único con SCN o C. acnes no confirma infección y debe llevar a investigar más; 2 muestras con germen indistinguible y el mismo antibiograma sí la definen [r12].</w:t>
      </w:r>
    </w:p>
    <w:p>
      <w:pPr>
        <w:keepNext/>
      </w:pPr>
      <w:r>
        <w:rPr>
          <w:b/>
        </w:rPr>
        <w:t>3. En ARREST, ¿qué mostró la rifampicina adyuvante en bacteriemia por S. aureus?</w:t>
      </w:r>
    </w:p>
    <w:p>
      <w:pPr>
        <w:spacing w:after="20"/>
        <w:ind w:left="454"/>
      </w:pPr>
      <w:r>
        <w:t>a) Redujo la mortalidad</w:t>
      </w:r>
    </w:p>
    <w:p>
      <w:pPr>
        <w:spacing w:after="20"/>
        <w:ind w:left="454"/>
      </w:pPr>
      <w:r>
        <w:t>b) No dio beneficio global y causó más eventos adversos que modificaron el tratamiento</w:t>
      </w:r>
    </w:p>
    <w:p>
      <w:pPr>
        <w:spacing w:after="20"/>
        <w:ind w:left="454"/>
      </w:pPr>
      <w:r>
        <w:t>c) Fue útil solo en MRSA</w:t>
      </w:r>
    </w:p>
    <w:p>
      <w:pPr>
        <w:spacing w:after="20"/>
        <w:ind w:left="454"/>
      </w:pPr>
      <w:r>
        <w:t>d) Redujo el tiempo de hospitalización</w:t>
      </w:r>
    </w:p>
    <w:p>
      <w:r>
        <w:rPr>
          <w:b/>
        </w:rPr>
        <w:t xml:space="preserve">Respuesta: b. </w:t>
      </w:r>
      <w:r>
        <w:rPr/>
        <w:t>Falla, recaída o muerte fue 17 % con rifampicina y 18 % con placebo, y los eventos adversos que obligaron a cambiar el tratamiento fueron 17 % frente a 10 % [r22].</w:t>
      </w:r>
    </w:p>
    <w:p>
      <w:pPr>
        <w:keepNext/>
      </w:pPr>
      <w:r>
        <w:rPr>
          <w:b/>
        </w:rPr>
        <w:t>4. ¿Por qué no se inicia una fluoroquinolona contra P. aeruginosa tras el desbridamiento de una FRI?</w:t>
      </w:r>
    </w:p>
    <w:p>
      <w:pPr>
        <w:spacing w:after="20"/>
        <w:ind w:left="454"/>
      </w:pPr>
      <w:r>
        <w:t>a) Porque no penetra en hueso</w:t>
      </w:r>
    </w:p>
    <w:p>
      <w:pPr>
        <w:spacing w:after="20"/>
        <w:ind w:left="454"/>
      </w:pPr>
      <w:r>
        <w:t>b) Por la alta resistencia que puede desarrollarse; se prefiere un betalactámico antipseudomonas</w:t>
      </w:r>
    </w:p>
    <w:p>
      <w:pPr>
        <w:spacing w:after="20"/>
        <w:ind w:left="454"/>
      </w:pPr>
      <w:r>
        <w:t>c) Porque es bacteriostática</w:t>
      </w:r>
    </w:p>
    <w:p>
      <w:pPr>
        <w:spacing w:after="20"/>
        <w:ind w:left="454"/>
      </w:pPr>
      <w:r>
        <w:t>d) Porque no se absorbe por vía oral</w:t>
      </w:r>
    </w:p>
    <w:p>
      <w:r>
        <w:rPr>
          <w:b/>
        </w:rPr>
        <w:t xml:space="preserve">Respuesta: b. </w:t>
      </w:r>
      <w:r>
        <w:rPr/>
        <w:t>El consenso de FRI desaconseja la quinolona al inicio por la alta tasa de resistencia y recomienda piperacilina-tazobactam, cefepima, ceftazidima o un carbapenem (no ertapenem) [r2].</w:t>
      </w:r>
    </w:p>
    <w:p>
      <w:pPr>
        <w:keepNext/>
      </w:pPr>
      <w:r>
        <w:rPr>
          <w:b/>
        </w:rPr>
        <w:t>5. Mordedura de gato con punción profunda en la mano. ¿Qué afirmación es correcta?</w:t>
      </w:r>
    </w:p>
    <w:p>
      <w:pPr>
        <w:spacing w:after="20"/>
        <w:ind w:left="454"/>
      </w:pPr>
      <w:r>
        <w:t>a) Se cierra de primera para evitar infección</w:t>
      </w:r>
    </w:p>
    <w:p>
      <w:pPr>
        <w:spacing w:after="20"/>
        <w:ind w:left="454"/>
      </w:pPr>
      <w:r>
        <w:t>b) Pasteurella es el germen más probable (75 % en las infectadas) y no se cierra de primera</w:t>
      </w:r>
    </w:p>
    <w:p>
      <w:pPr>
        <w:spacing w:after="20"/>
        <w:ind w:left="454"/>
      </w:pPr>
      <w:r>
        <w:t>c) La clindamicina sola es la mejor opción</w:t>
      </w:r>
    </w:p>
    <w:p>
      <w:pPr>
        <w:spacing w:after="20"/>
        <w:ind w:left="454"/>
      </w:pPr>
      <w:r>
        <w:t>d) No necesita seguimiento</w:t>
      </w:r>
    </w:p>
    <w:p>
      <w:r>
        <w:rPr>
          <w:b/>
        </w:rPr>
        <w:t xml:space="preserve">Respuesta: b. </w:t>
      </w:r>
      <w:r>
        <w:rPr/>
        <w:t>Pasteurella fue el aislado más frecuente en 75 % de las mordeduras de gato infectadas [r6]; el cierre primario está contraindicado en punciones profundas de gato y en la mano, y la clindamicina sola no sirve contra P. multocida [r7].</w:t>
      </w:r>
    </w:p>
    <w:p>
      <w:pPr>
        <w:keepNext/>
      </w:pPr>
      <w:r>
        <w:rPr>
          <w:b/>
        </w:rPr>
        <w:t>6. Niño de 20 meses con cojera, sin fiebre, con proteína C reactiva normal y cultivo negativo. ¿Qué germen y qué prueba piensas?</w:t>
      </w:r>
    </w:p>
    <w:p>
      <w:pPr>
        <w:spacing w:after="20"/>
        <w:ind w:left="454"/>
      </w:pPr>
      <w:r>
        <w:t>a) Salmonella; coprocultivo</w:t>
      </w:r>
    </w:p>
    <w:p>
      <w:pPr>
        <w:spacing w:after="20"/>
        <w:ind w:left="454"/>
      </w:pPr>
      <w:r>
        <w:t>b) Kingella kingae; PCR molecular o inoculación en frasco de hemocultivo</w:t>
      </w:r>
    </w:p>
    <w:p>
      <w:pPr>
        <w:spacing w:after="20"/>
        <w:ind w:left="454"/>
      </w:pPr>
      <w:r>
        <w:t>c) Pseudomonas; hisopo</w:t>
      </w:r>
    </w:p>
    <w:p>
      <w:pPr>
        <w:spacing w:after="20"/>
        <w:ind w:left="454"/>
      </w:pPr>
      <w:r>
        <w:t>d) Candida; hemocultivo en agar</w:t>
      </w:r>
    </w:p>
    <w:p>
      <w:r>
        <w:rPr>
          <w:b/>
        </w:rPr>
        <w:t xml:space="preserve">Respuesta: b. </w:t>
      </w:r>
      <w:r>
        <w:rPr/>
        <w:t>Kingella es el principal agente de osteomielitis y artritis séptica entre los 6 y los 36 meses y se detecta mejor con frasco de hemocultivo y PCR [r9]; en la serie de Ceroni, 39 % de los casos tenía proteína C reactiva normal [r25].</w:t>
      </w:r>
    </w:p>
    <w:p>
      <w:pPr>
        <w:keepNext/>
      </w:pPr>
      <w:r>
        <w:rPr>
          <w:b/>
        </w:rPr>
        <w:t>7. ¿Qué mostró DATIPO en infección protésica?</w:t>
      </w:r>
    </w:p>
    <w:p>
      <w:pPr>
        <w:spacing w:after="20"/>
        <w:ind w:left="454"/>
      </w:pPr>
      <w:r>
        <w:t>a) 6 semanas fueron no inferiores a 12</w:t>
      </w:r>
    </w:p>
    <w:p>
      <w:pPr>
        <w:spacing w:after="20"/>
        <w:ind w:left="454"/>
      </w:pPr>
      <w:r>
        <w:t>b) No se demostró no inferioridad de 6 semanas; la infección persistente fue 18,1 % frente a 9,4 %</w:t>
      </w:r>
    </w:p>
    <w:p>
      <w:pPr>
        <w:spacing w:after="20"/>
        <w:ind w:left="454"/>
      </w:pPr>
      <w:r>
        <w:t>c) Más de 12 semanas mejoran el resultado</w:t>
      </w:r>
    </w:p>
    <w:p>
      <w:pPr>
        <w:spacing w:after="20"/>
        <w:ind w:left="454"/>
      </w:pPr>
      <w:r>
        <w:t>d) La vía oral es superior a la IV</w:t>
      </w:r>
    </w:p>
    <w:p>
      <w:r>
        <w:rPr>
          <w:b/>
        </w:rPr>
        <w:t xml:space="preserve">Respuesta: b. </w:t>
      </w:r>
      <w:r>
        <w:rPr/>
        <w:t>En 410 pacientes, la infección persistente fue 18,1 % con 6 semanas y 9,4 % con 12, y no se demostró no inferioridad [r37].</w:t>
      </w:r>
    </w:p>
    <w:p>
      <w:pPr>
        <w:keepNext/>
      </w:pPr>
      <w:r>
        <w:rPr>
          <w:b/>
        </w:rPr>
        <w:t>8. Infección de fractura con implante estable por Candida. ¿Qué recomienda el consenso de FRI?</w:t>
      </w:r>
    </w:p>
    <w:p>
      <w:pPr>
        <w:spacing w:after="20"/>
        <w:ind w:left="454"/>
      </w:pPr>
      <w:r>
        <w:t>a) Debridar y conservar el implante con fluconazol corto</w:t>
      </w:r>
    </w:p>
    <w:p>
      <w:pPr>
        <w:spacing w:after="20"/>
        <w:ind w:left="454"/>
      </w:pPr>
      <w:r>
        <w:t>b) Retirar todo el material extraño y dar antifúngico prolongado (equinocandina, luego fluconazol si es sensible)</w:t>
      </w:r>
    </w:p>
    <w:p>
      <w:pPr>
        <w:spacing w:after="20"/>
        <w:ind w:left="454"/>
      </w:pPr>
      <w:r>
        <w:t>c) Observar sin tratar</w:t>
      </w:r>
    </w:p>
    <w:p>
      <w:pPr>
        <w:spacing w:after="20"/>
        <w:ind w:left="454"/>
      </w:pPr>
      <w:r>
        <w:t>d) Vancomicina más rifampicina</w:t>
      </w:r>
    </w:p>
    <w:p>
      <w:r>
        <w:rPr>
          <w:b/>
        </w:rPr>
        <w:t xml:space="preserve">Respuesta: b. </w:t>
      </w:r>
      <w:r>
        <w:rPr/>
        <w:t>El consenso recomienda retirar todo el material y usar equinocandinas con fluconazol de continuación si el aislado es sensible, hasta consolidar la fractura [r2].</w:t>
      </w:r>
    </w:p>
    <w:p>
      <w:pPr>
        <w:keepNext/>
      </w:pPr>
      <w:r>
        <w:rPr>
          <w:b/>
        </w:rPr>
        <w:t>9. ¿Cuántas muestras profundas se prefieren en la cirugía por sospecha de FRI y cómo se toman?</w:t>
      </w:r>
    </w:p>
    <w:p>
      <w:pPr>
        <w:spacing w:after="20"/>
        <w:ind w:left="454"/>
      </w:pPr>
      <w:r>
        <w:t>a) 1 muestra con hisopo de fístula</w:t>
      </w:r>
    </w:p>
    <w:p>
      <w:pPr>
        <w:spacing w:after="20"/>
        <w:ind w:left="454"/>
      </w:pPr>
      <w:r>
        <w:t>b) 2 muestras mezcladas en un frasco</w:t>
      </w:r>
    </w:p>
    <w:p>
      <w:pPr>
        <w:spacing w:after="20"/>
        <w:ind w:left="454"/>
      </w:pPr>
      <w:r>
        <w:t>c) 5 o más, con un instrumento limpio por muestra, sin hisopos ni piel</w:t>
      </w:r>
    </w:p>
    <w:p>
      <w:pPr>
        <w:spacing w:after="20"/>
        <w:ind w:left="454"/>
      </w:pPr>
      <w:r>
        <w:t>d) 3 hisopos del lecho quirúrgico</w:t>
      </w:r>
    </w:p>
    <w:p>
      <w:r>
        <w:rPr>
          <w:b/>
        </w:rPr>
        <w:t xml:space="preserve">Respuesta: c. </w:t>
      </w:r>
      <w:r>
        <w:rPr/>
        <w:t>El consenso prefiere 5 o más muestras profundas, con técnica de no tocar, un instrumento limpio por muestra, sin hisopos ni muestras de piel o fístula [r4].</w:t>
      </w:r>
    </w:p>
    <w:p>
      <w:pPr>
        <w:keepNext/>
      </w:pPr>
      <w:r>
        <w:rPr>
          <w:b/>
        </w:rPr>
        <w:t>10. CloCeBa y SNAP mostraron que la cefazolina fue no inferior en bacteriemia por MSSA. ¿Qué es cierto para hueso?</w:t>
      </w:r>
    </w:p>
    <w:p>
      <w:pPr>
        <w:spacing w:after="20"/>
        <w:ind w:left="454"/>
      </w:pPr>
      <w:r>
        <w:t>a) Ya está demostrado en osteomielitis</w:t>
      </w:r>
    </w:p>
    <w:p>
      <w:pPr>
        <w:spacing w:after="20"/>
        <w:ind w:left="454"/>
      </w:pPr>
      <w:r>
        <w:t>b) Falta análisis por foco; la evidencia directa en hueso son pocas cohortes retrospectivas y preocupa el efecto inóculo</w:t>
      </w:r>
    </w:p>
    <w:p>
      <w:pPr>
        <w:spacing w:after="20"/>
        <w:ind w:left="454"/>
      </w:pPr>
      <w:r>
        <w:t>c) La cefazolina está contraindicada en hueso</w:t>
      </w:r>
    </w:p>
    <w:p>
      <w:pPr>
        <w:spacing w:after="20"/>
        <w:ind w:left="454"/>
      </w:pPr>
      <w:r>
        <w:t>d) La flucloxacilina es inferior en hueso</w:t>
      </w:r>
    </w:p>
    <w:p>
      <w:r>
        <w:rPr>
          <w:b/>
        </w:rPr>
        <w:t xml:space="preserve">Respuesta: b. </w:t>
      </w:r>
      <w:r>
        <w:rPr/>
        <w:t>SNAP no publicó análisis por foco, la evidencia directa en hueso son pocas cohortes retrospectivas y el efecto inóculo preocupa más en hueso, abscesos y biofilm [r24]. En SNAP, la mortalidad a 90 días fue 15,0 % con cefazolina y 17,0 % con penicilina antiestafilocócica [r23].</w:t>
      </w:r>
    </w:p>
    <w:p>
      <w:pPr>
        <w:keepNext/>
      </w:pPr>
      <w:r>
        <w:rPr>
          <w:b/>
        </w:rPr>
        <w:t>11. ¿Qué se sabe del peróxido de benzoilo 5 % antes de la cirugía de hombro?</w:t>
      </w:r>
    </w:p>
    <w:p>
      <w:pPr>
        <w:spacing w:after="20"/>
        <w:ind w:left="454"/>
      </w:pPr>
      <w:r>
        <w:t>a) Elimina la infección profunda</w:t>
      </w:r>
    </w:p>
    <w:p>
      <w:pPr>
        <w:spacing w:after="20"/>
        <w:ind w:left="454"/>
      </w:pPr>
      <w:r>
        <w:t>b) Redujo la colonización cutánea por C. acnes (RR 0,25) en un metaanálisis en red; no pudo evaluar la colonización profunda</w:t>
      </w:r>
    </w:p>
    <w:p>
      <w:pPr>
        <w:spacing w:after="20"/>
        <w:ind w:left="454"/>
      </w:pPr>
      <w:r>
        <w:t>c) No tiene ningún efecto</w:t>
      </w:r>
    </w:p>
    <w:p>
      <w:pPr>
        <w:spacing w:after="20"/>
        <w:ind w:left="454"/>
      </w:pPr>
      <w:r>
        <w:t>d) Sustituye a la profilaxis antibiótica</w:t>
      </w:r>
    </w:p>
    <w:p>
      <w:r>
        <w:rPr>
          <w:b/>
        </w:rPr>
        <w:t xml:space="preserve">Respuesta: b. </w:t>
      </w:r>
      <w:r>
        <w:rPr/>
        <w:t>En 946 pacientes el RR fue 0,25 (IC 95 % 0,08-0,72) para colonización de la piel, y el análisis no pudo evaluar la colonización dérmica ni articular [r45].</w:t>
      </w:r>
    </w:p>
    <w:p>
      <w:pPr>
        <w:pStyle w:val="Heading1"/>
      </w:pPr>
      <w:r>
        <w:t>Lectura recomendada</w:t>
      </w:r>
    </w:p>
    <w:p>
      <w:pPr>
        <w:pStyle w:val="ListBullet"/>
      </w:pPr>
      <w:r>
        <w:t xml:space="preserve">AO Surgery Reference — Traumatología del adulto (abordajes y técnica por región; lectura recomendada, no se reproduce aquí) (lectura): </w:t>
      </w:r>
      <w:hyperlink r:id="rId76">
        <w:r>
          <w:rPr>
            <w:color w:val="0563C1"/>
            <w:u w:val="single"/>
          </w:rPr>
          <w:t xml:space="preserve">https://surgeryreference.aofoundation.org/orthopedic-trauma/adult-trauma</w:t>
        </w:r>
      </w:hyperlink>
    </w:p>
    <w:p>
      <w:pPr>
        <w:pStyle w:val="ListBullet"/>
      </w:pPr>
      <w:r>
        <w:t xml:space="preserve">AO Surgery Reference — Traumatología pediátrica (lectura recomendada, no se reproduce aquí) (lectura): </w:t>
      </w:r>
      <w:hyperlink r:id="rId77">
        <w:r>
          <w:rPr>
            <w:color w:val="0563C1"/>
            <w:u w:val="single"/>
          </w:rPr>
          <w:t xml:space="preserve">https://surgeryreference.aofoundation.org/orthopedic-trauma/pediatric-trauma</w:t>
        </w:r>
      </w:hyperlink>
    </w:p>
    <w:p>
      <w:pPr>
        <w:pStyle w:val="ListBullet"/>
      </w:pPr>
      <w:r>
        <w:t xml:space="preserve">AO Surgery Reference — Columna (lectura recomendada, no se reproduce aquí) (lectura): </w:t>
      </w:r>
      <w:hyperlink r:id="rId78">
        <w:r>
          <w:rPr>
            <w:color w:val="0563C1"/>
            <w:u w:val="single"/>
          </w:rPr>
          <w:t xml:space="preserve">https://surgeryreference.aofoundation.org/spine</w:t>
        </w:r>
      </w:hyperlink>
    </w:p>
    <w:p>
      <w:pPr>
        <w:pStyle w:val="ListBullet"/>
      </w:pPr>
      <w:r>
        <w:t xml:space="preserve">NICE NG184 — Mordeduras humanas y animales: prescripción antimicrobiana (lectura) (lectura): </w:t>
      </w:r>
      <w:hyperlink r:id="rId79">
        <w:r>
          <w:rPr>
            <w:color w:val="0563C1"/>
            <w:u w:val="single"/>
          </w:rPr>
          <w:t xml:space="preserve">https://www.nice.org.uk/guidance/ng184</w:t>
        </w:r>
      </w:hyperlink>
    </w:p>
    <w:p>
      <w:pPr>
        <w:pStyle w:val="ListBullet"/>
      </w:pPr>
      <w:r>
        <w:t xml:space="preserve">Consenso de FRI sobre el tratamiento antimicrobiano sistémico (J Orthop Trauma 2020, acceso abierto) (lectura): </w:t>
      </w:r>
      <w:hyperlink r:id="rId80">
        <w:r>
          <w:rPr>
            <w:color w:val="0563C1"/>
            <w:u w:val="single"/>
          </w:rPr>
          <w:t xml:space="preserve">https://pmc.ncbi.nlm.nih.gov/articles/PMC6903362/</w:t>
        </w:r>
      </w:hyperlink>
    </w:p>
    <w:p>
      <w:pPr>
        <w:pStyle w:val="ListBullet"/>
      </w:pPr>
      <w:r>
        <w:t xml:space="preserve">Consenso de FRI sobre el diagnóstico (J Orthop Trauma 2020, acceso abierto) (lectura): </w:t>
      </w:r>
      <w:hyperlink r:id="rId81">
        <w:r>
          <w:rPr>
            <w:color w:val="0563C1"/>
            <w:u w:val="single"/>
          </w:rPr>
          <w:t xml:space="preserve">https://pmc.ncbi.nlm.nih.gov/articles/PMC6903359/</w:t>
        </w:r>
      </w:hyperlink>
    </w:p>
    <w:p>
      <w:pPr>
        <w:pStyle w:val="ListBullet"/>
      </w:pPr>
      <w:r>
        <w:t xml:space="preserve">Definición EBJIS de infección periprotésica (Bone Joint J 2021, acceso abierto) (lectura): </w:t>
      </w:r>
      <w:hyperlink r:id="rId82">
        <w:r>
          <w:rPr>
            <w:color w:val="0563C1"/>
            <w:u w:val="single"/>
          </w:rPr>
          <w:t xml:space="preserve">https://pmc.ncbi.nlm.nih.gov/articles/PMC7954183/</w:t>
        </w:r>
      </w:hyperlink>
    </w:p>
    <w:p>
      <w:pPr>
        <w:pStyle w:val="ListBullet"/>
      </w:pPr>
      <w:r>
        <w:t xml:space="preserve">Guía del Reino Unido (BSAC) para el tratamiento de MRSA (JAC-AMR 2021, acceso abierto) (lectura): </w:t>
      </w:r>
      <w:hyperlink r:id="rId83">
        <w:r>
          <w:rPr>
            <w:color w:val="0563C1"/>
            <w:u w:val="single"/>
          </w:rPr>
          <w:t xml:space="preserve">https://pmc.ncbi.nlm.nih.gov/articles/PMC8210269/</w:t>
        </w:r>
      </w:hyperlink>
    </w:p>
    <w:p>
      <w:pPr>
        <w:pStyle w:val="ListBullet"/>
      </w:pPr>
      <w:r>
        <w:t xml:space="preserve">OVIVA: antibiótico oral frente a intravenoso en infección ósea y articular (NEJM 2019) (lectura): </w:t>
      </w:r>
      <w:hyperlink r:id="rId84">
        <w:r>
          <w:rPr>
            <w:color w:val="0563C1"/>
            <w:u w:val="single"/>
          </w:rPr>
          <w:t xml:space="preserve">https://pmc.ncbi.nlm.nih.gov/articles/PMC6522347/</w:t>
        </w:r>
      </w:hyperlink>
    </w:p>
    <w:p>
      <w:pPr>
        <w:pStyle w:val="ListBullet"/>
      </w:pPr>
      <w:r>
        <w:t xml:space="preserve">Guía IDSA 2016 de candidiasis (CID, acceso abierto) (lectura): </w:t>
      </w:r>
      <w:hyperlink r:id="rId85">
        <w:r>
          <w:rPr>
            <w:color w:val="0563C1"/>
            <w:u w:val="single"/>
          </w:rPr>
          <w:t xml:space="preserve">https://pmc.ncbi.nlm.nih.gov/articles/PMC4725385/</w:t>
        </w:r>
      </w:hyperlink>
    </w:p>
    <w:p>
      <w:pPr>
        <w:pStyle w:val="ListBullet"/>
      </w:pPr>
      <w:r>
        <w:t xml:space="preserve">AO Trauma North America — Journal Club, módulo 3: prevención y manejo de la infección relacionada con fractura (video): </w:t>
      </w:r>
      <w:hyperlink r:id="rId86">
        <w:r>
          <w:rPr>
            <w:color w:val="0563C1"/>
            <w:u w:val="single"/>
          </w:rPr>
          <w:t xml:space="preserve">https://www.youtube.com/watch?v=cD6ao-86kUM</w:t>
        </w:r>
      </w:hyperlink>
    </w:p>
    <w:p>
      <w:pPr>
        <w:pStyle w:val="ListBullet"/>
      </w:pPr>
      <w:r>
        <w:t xml:space="preserve">Harvard Global Orthopaedics Collaborative — Infección relacionada con fractura: fisiopatología y diagnóstico (video): </w:t>
      </w:r>
      <w:hyperlink r:id="rId87">
        <w:r>
          <w:rPr>
            <w:color w:val="0563C1"/>
            <w:u w:val="single"/>
          </w:rPr>
          <w:t xml:space="preserve">https://www.youtube.com/watch?v=IYQYDS0JqWE</w:t>
        </w:r>
      </w:hyperlink>
    </w:p>
    <w:p>
      <w:pPr>
        <w:pStyle w:val="ListBullet"/>
      </w:pPr>
      <w:r>
        <w:t xml:space="preserve">Harvard Global Orthopaedics Collaborative — Infección relacionada con fractura: manejo (video): </w:t>
      </w:r>
      <w:hyperlink r:id="rId88">
        <w:r>
          <w:rPr>
            <w:color w:val="0563C1"/>
            <w:u w:val="single"/>
          </w:rPr>
          <w:t xml:space="preserve">https://www.youtube.com/watch?v=gSyEd7Nd2Wo</w:t>
        </w:r>
      </w:hyperlink>
    </w:p>
    <w:p>
      <w:pPr>
        <w:pStyle w:val="Heading1"/>
      </w:pPr>
      <w:r>
        <w:t>Palabras clave</w:t>
      </w:r>
    </w:p>
    <w:p>
      <w:r>
        <w:t>S. aureus · MSSA · MRSA · estafilococos coagulasa negativos · S. epidermidis · S. lugdunensis · Cutibacterium acnes · Pseudomonas aeruginosa · bacilos Gram negativos · Pasteurella multocida · Eikenella corrodens · mordedura humana · herida por puñetazo · Kingella kingae · Candida · mohos · biofilm · variantes de colonia pequeña · rifampicina · DAIR · infección relacionada con fractura · OVIVA · DATIPO · cefazolina · vancomicina · sonicación · PCR molecular · peróxido de benzoilo</w:t>
      </w:r>
    </w:p>
    <w:p>
      <w:pPr>
        <w:pStyle w:val="Heading1"/>
      </w:pPr>
      <w:r>
        <w:t>Para recordar</w:t>
      </w:r>
    </w:p>
    <w:p>
      <w:pPr>
        <w:pStyle w:val="ListBullet"/>
      </w:pPr>
      <w:r>
        <w:rPr/>
        <w:t>S. aureus es el germen más frecuente en hueso, articulación y prótesis. [r16]</w:t>
      </w:r>
    </w:p>
    <w:p>
      <w:pPr>
        <w:pStyle w:val="ListBullet"/>
      </w:pPr>
      <w:r>
        <w:rPr/>
        <w:t>Biofilm: hasta 1000 veces más resistente [r2]. Con implante, cirugía y antibiótico antibiofilm.</w:t>
      </w:r>
    </w:p>
    <w:p>
      <w:pPr>
        <w:pStyle w:val="ListBullet"/>
      </w:pPr>
      <w:r>
        <w:rPr/>
        <w:t>Rifampicina siempre acompañada, nunca sola y nunca con herida abierta. [r2][r3]</w:t>
      </w:r>
    </w:p>
    <w:p>
      <w:pPr>
        <w:pStyle w:val="ListBullet"/>
      </w:pPr>
      <w:r>
        <w:rPr/>
        <w:t>5 o más muestras profundas, instrumento limpio por muestra, nada de hisopos. [r4]</w:t>
      </w:r>
    </w:p>
    <w:p>
      <w:pPr>
        <w:pStyle w:val="ListBullet"/>
      </w:pPr>
      <w:r>
        <w:rPr/>
        <w:t>SCN o C. acnes en 1 muestra no confirma; en 2 muestras iguales, sí. [r12][r13]</w:t>
      </w:r>
    </w:p>
    <w:p>
      <w:pPr>
        <w:pStyle w:val="ListBullet"/>
      </w:pPr>
      <w:r>
        <w:rPr/>
        <w:t>C. acnes: hombro y columna; cultivo de 10 a 14 días. [r5]</w:t>
      </w:r>
    </w:p>
    <w:p>
      <w:pPr>
        <w:pStyle w:val="ListBullet"/>
      </w:pPr>
      <w:r>
        <w:rPr/>
        <w:t>Pseudomonas: betalactámico antipseudomonas primero; quinolona después de desbridar. [r2]</w:t>
      </w:r>
    </w:p>
    <w:p>
      <w:pPr>
        <w:pStyle w:val="ListBullet"/>
      </w:pPr>
      <w:r>
        <w:rPr/>
        <w:t>Mordedura: perro y gato, Pasteurella; humana, Eikenella; aminopenicilina con inhibidor. [r6][r7]</w:t>
      </w:r>
    </w:p>
    <w:p>
      <w:pPr>
        <w:pStyle w:val="ListBullet"/>
      </w:pPr>
      <w:r>
        <w:rPr/>
        <w:t>Kingella: 6 a 36 meses [r9], poca fiebre, cultivo negativo. Pide PCR molecular.</w:t>
      </w:r>
    </w:p>
    <w:p>
      <w:pPr>
        <w:pStyle w:val="ListBullet"/>
      </w:pPr>
      <w:r>
        <w:rPr/>
        <w:t>Hongo con implante: retira todo el material extraño. [r2]</w:t>
      </w:r>
    </w:p>
    <w:p>
      <w:pPr>
        <w:pStyle w:val="ListBullet"/>
      </w:pPr>
      <w:r>
        <w:rPr/>
        <w:t>Oral no fue inferior a IV en las primeras 6 semanas de OVIVA. [r1]</w:t>
      </w:r>
    </w:p>
    <w:p>
      <w:pPr>
        <w:pStyle w:val="Heading1"/>
      </w:pPr>
      <w:r>
        <w:t>Caso de staff</w:t>
      </w:r>
    </w:p>
    <w:p>
      <w:r>
        <w:rPr>
          <w:i/>
        </w:rPr>
        <w:t>Caso didáctico, inventado como tal; no corresponde a un paciente real.</w:t>
      </w:r>
    </w:p>
    <w:p>
      <w:pPr>
        <w:pStyle w:val="Heading2"/>
      </w:pPr>
      <w:r>
        <w:t>Caso de staff (caso didáctico inventado)</w:t>
      </w:r>
    </w:p>
    <w:p>
      <w:r>
        <w:rPr/>
        <w:t>Varón de 34 años, motociclista, con fractura expuesta de tibia grado IIIA fijada con clavo endomedular hace 5 semanas. Consulta por dolor persistente y secreción serosa por la herida distal desde hace 10 días. Está afebril y estable. La radiografía no muestra aflojamiento y la proteína C reactiva está moderadamente elevada. En la cara anterior hay un trayecto fistuloso que comunica con el hueso.</w:t>
      </w:r>
    </w:p>
    <w:p>
      <w:pPr>
        <w:pStyle w:val="Heading2"/>
      </w:pPr>
      <w:r>
        <w:t>Preguntas para discutir</w:t>
      </w:r>
    </w:p>
    <w:p>
      <w:pPr>
        <w:spacing w:after="60"/>
        <w:ind w:left="510" w:hanging="340"/>
      </w:pPr>
      <w:r>
        <w:rPr>
          <w:b/>
        </w:rPr>
        <w:t xml:space="preserve">1. </w:t>
      </w:r>
      <w:r>
        <w:rPr/>
        <w:t>¿Qué hace que esta infección esté confirmada aun antes del cultivo?</w:t>
      </w:r>
    </w:p>
    <w:p>
      <w:pPr>
        <w:spacing w:after="60"/>
        <w:ind w:left="510" w:hanging="340"/>
      </w:pPr>
      <w:r>
        <w:rPr>
          <w:b/>
        </w:rPr>
        <w:t xml:space="preserve">2. </w:t>
      </w:r>
      <w:r>
        <w:rPr/>
        <w:t>¿Cómo tomas las muestras y qué NO mandas a cultivo?</w:t>
      </w:r>
    </w:p>
    <w:p>
      <w:pPr>
        <w:spacing w:after="60"/>
        <w:ind w:left="510" w:hanging="340"/>
      </w:pPr>
      <w:r>
        <w:rPr>
          <w:b/>
        </w:rPr>
        <w:t xml:space="preserve">3. </w:t>
      </w:r>
      <w:r>
        <w:rPr/>
        <w:t>Crece S. epidermidis meticilino resistente en 3 de 5 muestras y P. aeruginosa en 1 de 5. ¿Cómo lo lees?</w:t>
      </w:r>
    </w:p>
    <w:p>
      <w:pPr>
        <w:spacing w:after="60"/>
        <w:ind w:left="510" w:hanging="340"/>
      </w:pPr>
      <w:r>
        <w:rPr>
          <w:b/>
        </w:rPr>
        <w:t xml:space="preserve">4. </w:t>
      </w:r>
      <w:r>
        <w:rPr/>
        <w:t>¿Qué antibiótico empírico das y cuándo? ¿Qué pasa con el clavo?</w:t>
      </w:r>
    </w:p>
    <w:p>
      <w:pPr>
        <w:spacing w:after="60"/>
        <w:ind w:left="510" w:hanging="340"/>
      </w:pPr>
      <w:r>
        <w:rPr>
          <w:b/>
        </w:rPr>
        <w:t xml:space="preserve">5. </w:t>
      </w:r>
      <w:r>
        <w:rPr/>
        <w:t>Cuando llegue el antibiograma, ¿qué esquema oral con rifampicina eliges y por cuánto tiempo?</w:t>
      </w:r>
    </w:p>
    <w:p>
      <w:pPr>
        <w:pStyle w:val="Heading2"/>
      </w:pPr>
      <w:r>
        <w:t>Resolución</w:t>
      </w:r>
    </w:p>
    <w:p>
      <w:r>
        <w:rPr/>
        <w:t>La fístula que comunica con el hueso o el implante es un criterio confirmatorio de FRI [r13][r4]: los cultivos sirven para elegir el antibiótico, no para decidir si hay infección. Las muestras se toman en quirófano, al inicio del desbridamiento: 5 o más profundas, con un instrumento limpio por muestra, sin hisopo de la fístula ni de piel [r4]. Si el paciente no está séptico, el antibiótico espera hasta después de las muestras [r2]. S. epidermidis en 3 de 5 muestras con el mismo antibiograma es infección y no contaminación [r12], y al ser meticilino resistente se trata como MRSA [r2]. P. aeruginosa en 1 sola muestra no cumple el criterio de 2 muestras [r13], pero hasta 1 de cada 3 FRI son polimicrobianas, así que no se descarta sin discutirlo con infectología [r2]. El empírico inicial lleva un glucopéptido más cobertura contra Gram negativos [r2]; si el clavo está estable y los síntomas llevan menos de 4 semanas, el DAIR con rifampicina y una pareja oral, 12 semanas en total, es una opción razonable [r2]. Antes de confiar en la rifampicina, pide su antibiograma, porque la resistencia primaria llega a 20 % en SCN de algunas cohortes [r21]. El esquema de primera elección con rifampicina es una fluoroquinolona; si hay resistencia, TMP-SMX, doxiciclina o minociclina [r2].</w:t>
      </w:r>
    </w:p>
    <w:p>
      <w:r>
        <w:rPr>
          <w:b/>
        </w:rPr>
        <w:t xml:space="preserve">Mensaje para llevarse: </w:t>
      </w:r>
      <w:r>
        <w:rPr/>
        <w:t>En una FRI con fístula la pregunta no es si hay infección, sino qué muestras tomas y qué antibiótico antibiofilm sí puedes dar [r2].</w:t>
      </w:r>
    </w:p>
    <w:p>
      <w:pPr>
        <w:pStyle w:val="Heading1"/>
      </w:pPr>
      <w:r>
        <w:t>Referencias completas</w:t>
      </w:r>
    </w:p>
    <w:p>
      <w:r>
        <w:rPr>
          <w:i/>
          <w:sz w:val="19"/>
        </w:rPr>
        <w:t>Formato Vancouver con enlace DOI. Una referencia entra solo si se abrió la fuente y se guardó el fragmento que respalda el dato.</w:t>
      </w:r>
    </w:p>
    <w:p>
      <w:pPr>
        <w:spacing w:after="60"/>
        <w:ind w:left="510" w:hanging="510"/>
      </w:pPr>
      <w:r>
        <w:rPr>
          <w:b/>
          <w:sz w:val="18"/>
        </w:rPr>
        <w:t xml:space="preserve">[r1] </w:t>
      </w:r>
      <w:r>
        <w:rPr>
          <w:sz w:val="18"/>
        </w:rPr>
        <w:t xml:space="preserve">Li HK, Rombach I, Zambellas R, Walker AS, McNally MA, Atkins BL, et al. Oral versus Intravenous Antibiotics for Bone and Joint Infection. N Engl J Med. 2019;380(5):425-436. </w:t>
      </w:r>
      <w:r>
        <w:rPr>
          <w:i/>
          <w:color w:val="5A6469"/>
          <w:sz w:val="17"/>
        </w:rPr>
        <w:t xml:space="preserve">(ECA · acceso abierto) </w:t>
      </w:r>
      <w:hyperlink r:id="rId14">
        <w:r>
          <w:rPr>
            <w:color w:val="0563C1"/>
            <w:u w:val="single"/>
            <w:sz w:val="18"/>
          </w:rPr>
          <w:t xml:space="preserve">https://doi.org/10.1056/NEJMoa1710926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[r2] </w:t>
      </w:r>
      <w:r>
        <w:rPr>
          <w:sz w:val="18"/>
        </w:rPr>
        <w:t xml:space="preserve">Depypere M, Kuehl R, Metsemakers WJ, Senneville E, McNally MA, Obremskey WT, et al. Recommendations for Systemic Antimicrobial Therapy in Fracture-Related Infection: A Consensus From an International Expert Group. J Orthop Trauma. 2020;34(1):30-41. </w:t>
      </w:r>
      <w:r>
        <w:rPr>
          <w:i/>
          <w:color w:val="5A6469"/>
          <w:sz w:val="17"/>
        </w:rPr>
        <w:t xml:space="preserve">(guia · acceso abierto) </w:t>
      </w:r>
      <w:hyperlink r:id="rId15">
        <w:r>
          <w:rPr>
            <w:color w:val="0563C1"/>
            <w:u w:val="single"/>
            <w:sz w:val="18"/>
          </w:rPr>
          <w:t xml:space="preserve">https://doi.org/10.1097/BOT.0000000000001626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[r3] </w:t>
      </w:r>
      <w:r>
        <w:rPr>
          <w:sz w:val="18"/>
        </w:rPr>
        <w:t xml:space="preserve">Brown NM, Goodman AL, Horner C, Jenkins A, Brown EM. Treatment of methicillin-resistant Staphylococcus aureus (MRSA): updated guidelines from the UK. JAC Antimicrob Resist. 2021;3(1):dlaa114. </w:t>
      </w:r>
      <w:r>
        <w:rPr>
          <w:i/>
          <w:color w:val="5A6469"/>
          <w:sz w:val="17"/>
        </w:rPr>
        <w:t xml:space="preserve">(guia · acceso abierto) </w:t>
      </w:r>
      <w:hyperlink r:id="rId31">
        <w:r>
          <w:rPr>
            <w:color w:val="0563C1"/>
            <w:u w:val="single"/>
            <w:sz w:val="18"/>
          </w:rPr>
          <w:t xml:space="preserve">https://doi.org/10.1093/jacamr/dlaa114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[r4] </w:t>
      </w:r>
      <w:r>
        <w:rPr>
          <w:sz w:val="18"/>
        </w:rPr>
        <w:t xml:space="preserve">Govaert GAM, Kuehl R, Atkins BL, Trampuz A, Morgenstern M, Obremskey WT, et al. Diagnosing Fracture-Related Infection: Current Concepts and Recommendations. J Orthop Trauma. 2020;34(1):8-17. </w:t>
      </w:r>
      <w:r>
        <w:rPr>
          <w:i/>
          <w:color w:val="5A6469"/>
          <w:sz w:val="17"/>
        </w:rPr>
        <w:t xml:space="preserve">(guia · acceso abierto) </w:t>
      </w:r>
      <w:hyperlink r:id="rId42">
        <w:r>
          <w:rPr>
            <w:color w:val="0563C1"/>
            <w:u w:val="single"/>
            <w:sz w:val="18"/>
          </w:rPr>
          <w:t xml:space="preserve">https://doi.org/10.1097/BOT.0000000000001614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[r5] </w:t>
      </w:r>
      <w:r>
        <w:rPr>
          <w:sz w:val="18"/>
        </w:rPr>
        <w:t xml:space="preserve">Achermann Y, Goldstein EJ, Coenye T, Shirtliff ME. Propionibacterium acnes: from commensal to opportunistic biofilm-associated implant pathogen. Clin Microbiol Rev. 2014;27(3):419-40. </w:t>
      </w:r>
      <w:r>
        <w:rPr>
          <w:i/>
          <w:color w:val="5A6469"/>
          <w:sz w:val="17"/>
        </w:rPr>
        <w:t xml:space="preserve">(revision · acceso abierto) </w:t>
      </w:r>
      <w:hyperlink r:id="rId29">
        <w:r>
          <w:rPr>
            <w:color w:val="0563C1"/>
            <w:u w:val="single"/>
            <w:sz w:val="18"/>
          </w:rPr>
          <w:t xml:space="preserve">https://doi.org/10.1128/CMR.00092-13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[r6] </w:t>
      </w:r>
      <w:r>
        <w:rPr>
          <w:sz w:val="18"/>
        </w:rPr>
        <w:t xml:space="preserve">Talan DA, Citron DM, Abrahamian FM, Moran GJ, Goldstein EJ. Bacteriologic analysis of infected dog and cat bites. Emergency Medicine Animal Bite Infection Study Group. N Engl J Med. 1999;340(2):85-92. </w:t>
      </w:r>
      <w:r>
        <w:rPr>
          <w:i/>
          <w:color w:val="5A6469"/>
          <w:sz w:val="17"/>
        </w:rPr>
        <w:t xml:space="preserve">(cohorte · acceso resumen) </w:t>
      </w:r>
      <w:hyperlink r:id="rId32">
        <w:r>
          <w:rPr>
            <w:color w:val="0563C1"/>
            <w:u w:val="single"/>
            <w:sz w:val="18"/>
          </w:rPr>
          <w:t xml:space="preserve">https://doi.org/10.1056/NEJM199901143400202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[r7] </w:t>
      </w:r>
      <w:r>
        <w:rPr>
          <w:sz w:val="18"/>
        </w:rPr>
        <w:t xml:space="preserve">Rothe K, Tsokos M, Handrick W. Animal and Human Bite Wounds. Dtsch Arztebl Int. 2015;112(25):433-42; quiz 443. </w:t>
      </w:r>
      <w:r>
        <w:rPr>
          <w:i/>
          <w:color w:val="5A6469"/>
          <w:sz w:val="17"/>
        </w:rPr>
        <w:t xml:space="preserve">(revision · acceso abierto) </w:t>
      </w:r>
      <w:hyperlink r:id="rId16">
        <w:r>
          <w:rPr>
            <w:color w:val="0563C1"/>
            <w:u w:val="single"/>
            <w:sz w:val="18"/>
          </w:rPr>
          <w:t xml:space="preserve">https://doi.org/10.3238/arztebl.2015.0433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[r8] </w:t>
      </w:r>
      <w:r>
        <w:rPr>
          <w:sz w:val="18"/>
        </w:rPr>
        <w:t xml:space="preserve">Medeiros I, Saconato H. Antibiotic prophylaxis for mammalian bites. Cochrane Database Syst Rev. 2001;2001(2):CD001738. </w:t>
      </w:r>
      <w:r>
        <w:rPr>
          <w:i/>
          <w:color w:val="5A6469"/>
          <w:sz w:val="17"/>
        </w:rPr>
        <w:t xml:space="preserve">(RS-MA · acceso resumen) </w:t>
      </w:r>
      <w:hyperlink r:id="rId71">
        <w:r>
          <w:rPr>
            <w:color w:val="0563C1"/>
            <w:u w:val="single"/>
            <w:sz w:val="18"/>
          </w:rPr>
          <w:t xml:space="preserve">https://doi.org/10.1002/14651858.CD001738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[r9] </w:t>
      </w:r>
      <w:r>
        <w:rPr>
          <w:sz w:val="18"/>
        </w:rPr>
        <w:t xml:space="preserve">Yagupsky P. Kingella kingae: carriage, transmission, and disease. Clin Microbiol Rev. 2015;28(1):54-79. </w:t>
      </w:r>
      <w:r>
        <w:rPr>
          <w:i/>
          <w:color w:val="5A6469"/>
          <w:sz w:val="17"/>
        </w:rPr>
        <w:t xml:space="preserve">(revision · acceso resumen) </w:t>
      </w:r>
      <w:hyperlink r:id="rId17">
        <w:r>
          <w:rPr>
            <w:color w:val="0563C1"/>
            <w:u w:val="single"/>
            <w:sz w:val="18"/>
          </w:rPr>
          <w:t xml:space="preserve">https://doi.org/10.1128/CMR.00028-14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[r10] </w:t>
      </w:r>
      <w:r>
        <w:rPr>
          <w:sz w:val="18"/>
        </w:rPr>
        <w:t xml:space="preserve">Oyeniran SJ, Leber AL, Wang H. An in-house Kingella kingae PCR in a large pediatric cohort: impact on diagnosis, antimicrobial stewardship, and clinical outcomes. J Clin Microbiol. 2025;63(11):e0098625. </w:t>
      </w:r>
      <w:r>
        <w:rPr>
          <w:i/>
          <w:color w:val="5A6469"/>
          <w:sz w:val="17"/>
        </w:rPr>
        <w:t xml:space="preserve">(cohorte · acceso resumen) </w:t>
      </w:r>
      <w:hyperlink r:id="rId43">
        <w:r>
          <w:rPr>
            <w:color w:val="0563C1"/>
            <w:u w:val="single"/>
            <w:sz w:val="18"/>
          </w:rPr>
          <w:t xml:space="preserve">https://doi.org/10.1128/jcm.00986-25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[r11] </w:t>
      </w:r>
      <w:r>
        <w:rPr>
          <w:sz w:val="18"/>
        </w:rPr>
        <w:t xml:space="preserve">Pappas PG, Kauffman CA, Andes DR, Clancy CJ, Marr KA, Ostrosky-Zeichner L, et al. Clinical Practice Guideline for the Management of Candidiasis: 2016 Update by the Infectious Diseases Society of America. Clin Infect Dis. 2016;62(4):e1-50. </w:t>
      </w:r>
      <w:r>
        <w:rPr>
          <w:i/>
          <w:color w:val="5A6469"/>
          <w:sz w:val="17"/>
        </w:rPr>
        <w:t xml:space="preserve">(guia · acceso abierto) </w:t>
      </w:r>
      <w:hyperlink r:id="rId33">
        <w:r>
          <w:rPr>
            <w:color w:val="0563C1"/>
            <w:u w:val="single"/>
            <w:sz w:val="18"/>
          </w:rPr>
          <w:t xml:space="preserve">https://doi.org/10.1093/cid/civ933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[r12] </w:t>
      </w:r>
      <w:r>
        <w:rPr>
          <w:sz w:val="18"/>
        </w:rPr>
        <w:t xml:space="preserve">McNally M, Sousa R, Wouthuyzen-Bakker M, Chen AF, Soriano A, Vogely HC, et al. The EBJIS definition of periprosthetic joint infection. Bone Joint J. 2021;103-B(1):18-25. </w:t>
      </w:r>
      <w:r>
        <w:rPr>
          <w:i/>
          <w:color w:val="5A6469"/>
          <w:sz w:val="17"/>
        </w:rPr>
        <w:t xml:space="preserve">(guia · acceso abierto) </w:t>
      </w:r>
      <w:hyperlink r:id="rId18">
        <w:r>
          <w:rPr>
            <w:color w:val="0563C1"/>
            <w:u w:val="single"/>
            <w:sz w:val="18"/>
          </w:rPr>
          <w:t xml:space="preserve">https://doi.org/10.1302/0301-620X.103B1.BJJ-2020-1381.R1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[r13] </w:t>
      </w:r>
      <w:r>
        <w:rPr>
          <w:sz w:val="18"/>
        </w:rPr>
        <w:t xml:space="preserve">Metsemakers WJ, Morgenstern M, McNally MA, Moriarty TF, McFadyen I, Scarborough M, et al. Fracture-related infection: A consensus on definition from an international expert group. Injury. 2018;49(3):505-510. </w:t>
      </w:r>
      <w:r>
        <w:rPr>
          <w:i/>
          <w:color w:val="5A6469"/>
          <w:sz w:val="17"/>
        </w:rPr>
        <w:t xml:space="preserve">(guia · acceso resumen) </w:t>
      </w:r>
      <w:hyperlink r:id="rId44">
        <w:r>
          <w:rPr>
            <w:color w:val="0563C1"/>
            <w:u w:val="single"/>
            <w:sz w:val="18"/>
          </w:rPr>
          <w:t xml:space="preserve">https://doi.org/10.1016/j.injury.2017.08.040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[r14] </w:t>
      </w:r>
      <w:r>
        <w:rPr>
          <w:sz w:val="18"/>
        </w:rPr>
        <w:t xml:space="preserve">Bastidas-Caldes C, Hernández-Alomía F, Bolaños F, Cisneros-Vásquez E, Romero-Alvarez D. Antimicrobial resistance in Ecuador, 2000-2024: a systematic review within a One Health framework. Crit Rev Microbiol. 2026 Aug 10:1-20. Epub ahead of print. </w:t>
      </w:r>
      <w:r>
        <w:rPr>
          <w:i/>
          <w:color w:val="5A6469"/>
          <w:sz w:val="17"/>
        </w:rPr>
        <w:t xml:space="preserve">(RS-MA · acceso resumen) </w:t>
      </w:r>
      <w:hyperlink r:id="rId19">
        <w:r>
          <w:rPr>
            <w:color w:val="0563C1"/>
            <w:u w:val="single"/>
            <w:sz w:val="18"/>
          </w:rPr>
          <w:t xml:space="preserve">https://doi.org/10.1080/1040841X.2026.2709521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[r15] </w:t>
      </w:r>
      <w:r>
        <w:rPr>
          <w:sz w:val="18"/>
        </w:rPr>
        <w:t xml:space="preserve">Husaini DC, Chiroma JH, Sani GM, Ihebie CE, Nwachukwu I, Nwokocha C, et al. Antimicrobial Resistance in Diabetic Foot Infections in Latin America and the Caribbean: A Systematic Review and Meta-Analysis (1980-2025). Int J Microbiol. 2026;2026:5244269. </w:t>
      </w:r>
      <w:r>
        <w:rPr>
          <w:i/>
          <w:color w:val="5A6469"/>
          <w:sz w:val="17"/>
        </w:rPr>
        <w:t xml:space="preserve">(RS-MA · acceso abierto) </w:t>
      </w:r>
      <w:hyperlink r:id="rId20">
        <w:r>
          <w:rPr>
            <w:color w:val="0563C1"/>
            <w:u w:val="single"/>
            <w:sz w:val="18"/>
          </w:rPr>
          <w:t xml:space="preserve">https://doi.org/10.1155/ijm/5244269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[r16] </w:t>
      </w:r>
      <w:r>
        <w:rPr>
          <w:sz w:val="18"/>
        </w:rPr>
        <w:t xml:space="preserve">Tong SY, Davis JS, Eichenberger E, Holland TL, Fowler VG Jr. Staphylococcus aureus infections: epidemiology, pathophysiology, clinical manifestations, and management. Clin Microbiol Rev. 2015;28(3):603-61. </w:t>
      </w:r>
      <w:r>
        <w:rPr>
          <w:i/>
          <w:color w:val="5A6469"/>
          <w:sz w:val="17"/>
        </w:rPr>
        <w:t xml:space="preserve">(revision · acceso abierto) </w:t>
      </w:r>
      <w:hyperlink r:id="rId11">
        <w:r>
          <w:rPr>
            <w:color w:val="0563C1"/>
            <w:u w:val="single"/>
            <w:sz w:val="18"/>
          </w:rPr>
          <w:t xml:space="preserve">https://doi.org/10.1128/CMR.00134-14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[r17] </w:t>
      </w:r>
      <w:r>
        <w:rPr>
          <w:sz w:val="18"/>
        </w:rPr>
        <w:t xml:space="preserve">Daddi L, Golden M, Frumberg D, Spichler-Moffarah A. Is cefazolin an appropriate choice for preoperative prophylaxis in patients undergoing surgery for fracture-related infection. Antimicrob Steward Healthc Epidemiol. 2026;6(1):e216. </w:t>
      </w:r>
      <w:r>
        <w:rPr>
          <w:i/>
          <w:color w:val="5A6469"/>
          <w:sz w:val="17"/>
        </w:rPr>
        <w:t xml:space="preserve">(cohorte · acceso abierto) </w:t>
      </w:r>
      <w:hyperlink r:id="rId21">
        <w:r>
          <w:rPr>
            <w:color w:val="0563C1"/>
            <w:u w:val="single"/>
            <w:sz w:val="18"/>
          </w:rPr>
          <w:t xml:space="preserve">https://doi.org/10.1017/ash.2026.10755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[r18] </w:t>
      </w:r>
      <w:r>
        <w:rPr>
          <w:sz w:val="18"/>
        </w:rPr>
        <w:t xml:space="preserve">Becker K, Heilmann C, Peters G. Coagulase-negative staphylococci. Clin Microbiol Rev. 2014;27(4):870-926. </w:t>
      </w:r>
      <w:r>
        <w:rPr>
          <w:i/>
          <w:color w:val="5A6469"/>
          <w:sz w:val="17"/>
        </w:rPr>
        <w:t xml:space="preserve">(revision · acceso abierto) </w:t>
      </w:r>
      <w:hyperlink r:id="rId22">
        <w:r>
          <w:rPr>
            <w:color w:val="0563C1"/>
            <w:u w:val="single"/>
            <w:sz w:val="18"/>
          </w:rPr>
          <w:t xml:space="preserve">https://doi.org/10.1128/CMR.00109-13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[r19] </w:t>
      </w:r>
      <w:r>
        <w:rPr>
          <w:sz w:val="18"/>
        </w:rPr>
        <w:t xml:space="preserve">Tetreault MW, Wetters NG, Aggarwal V, Mont M, Parvizi J, Della Valle CJ. The Chitranjan Ranawat Award: Should prophylactic antibiotics be withheld before revision surgery to obtain appropriate cultures?. Clin Orthop Relat Res. 2014;472(1):52-6. </w:t>
      </w:r>
      <w:r>
        <w:rPr>
          <w:i/>
          <w:color w:val="5A6469"/>
          <w:sz w:val="17"/>
        </w:rPr>
        <w:t xml:space="preserve">(ECA · acceso abierto) </w:t>
      </w:r>
      <w:hyperlink r:id="rId45">
        <w:r>
          <w:rPr>
            <w:color w:val="0563C1"/>
            <w:u w:val="single"/>
            <w:sz w:val="18"/>
          </w:rPr>
          <w:t xml:space="preserve">https://doi.org/10.1007/s11999-013-3016-5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[r20] </w:t>
      </w:r>
      <w:r>
        <w:rPr>
          <w:sz w:val="18"/>
        </w:rPr>
        <w:t xml:space="preserve">Abdo B, Strack D, Schäuffele M, Tüngler TL, Imirzalioglu C, Windhorst A, et al. Sonication versus peri-implant tissue culture in fracture-related infection: diagnostic performance and therapeutic consequences in a single-center cohort. J Bone Jt Infect. 2026;11(4):555-563. </w:t>
      </w:r>
      <w:r>
        <w:rPr>
          <w:i/>
          <w:color w:val="5A6469"/>
          <w:sz w:val="17"/>
        </w:rPr>
        <w:t xml:space="preserve">(cohorte · acceso abierto) </w:t>
      </w:r>
      <w:hyperlink r:id="rId46">
        <w:r>
          <w:rPr>
            <w:color w:val="0563C1"/>
            <w:u w:val="single"/>
            <w:sz w:val="18"/>
          </w:rPr>
          <w:t xml:space="preserve">https://doi.org/10.5194/jbji-11-555-2026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[r21] </w:t>
      </w:r>
      <w:r>
        <w:rPr>
          <w:sz w:val="18"/>
        </w:rPr>
        <w:t xml:space="preserve">Laurent F, Yombi JC. Rifampicin in Osteoarticular Infections: A Comprehensive Review of Current Evidence. Antibiotics (Basel). 2026;15(9):872. </w:t>
      </w:r>
      <w:r>
        <w:rPr>
          <w:i/>
          <w:color w:val="5A6469"/>
          <w:sz w:val="17"/>
        </w:rPr>
        <w:t xml:space="preserve">(revision · acceso abierto) </w:t>
      </w:r>
      <w:hyperlink r:id="rId23">
        <w:r>
          <w:rPr>
            <w:color w:val="0563C1"/>
            <w:u w:val="single"/>
            <w:sz w:val="18"/>
          </w:rPr>
          <w:t xml:space="preserve">https://doi.org/10.3390/antibiotics15090872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[r22] </w:t>
      </w:r>
      <w:r>
        <w:rPr>
          <w:sz w:val="18"/>
        </w:rPr>
        <w:t xml:space="preserve">Thwaites GE, Scarborough M, Szubert A, Nsutebu E, Tilley R, Greig J, et al. Adjunctive rifampicin for Staphylococcus aureus bacteraemia (ARREST): a multicentre, randomised, double-blind, placebo-controlled trial. Lancet. 2018;391(10121):668-678. </w:t>
      </w:r>
      <w:r>
        <w:rPr>
          <w:i/>
          <w:color w:val="5A6469"/>
          <w:sz w:val="17"/>
        </w:rPr>
        <w:t xml:space="preserve">(ECA · acceso resumen) </w:t>
      </w:r>
      <w:hyperlink r:id="rId53">
        <w:r>
          <w:rPr>
            <w:color w:val="0563C1"/>
            <w:u w:val="single"/>
            <w:sz w:val="18"/>
          </w:rPr>
          <w:t xml:space="preserve">https://doi.org/10.1016/S0140-6736(17)32456-X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[r23] </w:t>
      </w:r>
      <w:r>
        <w:rPr>
          <w:sz w:val="18"/>
        </w:rPr>
        <w:t xml:space="preserve">Staphylococcus aureus Network Adaptive Platform (SNAP) Trial Group; Lee TC, Barina LA, Walls G, Goodman AL, Yahav D, Cheng MP, et al. Cefazolin for Methicillin-Susceptible Staphylococcus aureus Bacteremia. N Engl J Med. 2026;394(23):2329-2339. </w:t>
      </w:r>
      <w:r>
        <w:rPr>
          <w:i/>
          <w:color w:val="5A6469"/>
          <w:sz w:val="17"/>
        </w:rPr>
        <w:t xml:space="preserve">(ECA · acceso resumen) </w:t>
      </w:r>
      <w:hyperlink r:id="rId54">
        <w:r>
          <w:rPr>
            <w:color w:val="0563C1"/>
            <w:u w:val="single"/>
            <w:sz w:val="18"/>
          </w:rPr>
          <w:t xml:space="preserve">https://doi.org/10.1056/NEJMoa2506905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[r24] </w:t>
      </w:r>
      <w:r>
        <w:rPr>
          <w:sz w:val="18"/>
        </w:rPr>
        <w:t xml:space="preserve">Werneburg F, Beschauner J, Werneburg LI, Zeh A, Gutteck N, Delank KS. Cefazolin Versus Antistaphylococcal Penicillins in Methicillin-Susceptible Staphylococcus aureus Bone and Joint Infections: A Narrative Review. Antibiotics (Basel). 2026;15(9):930. </w:t>
      </w:r>
      <w:r>
        <w:rPr>
          <w:i/>
          <w:color w:val="5A6469"/>
          <w:sz w:val="17"/>
        </w:rPr>
        <w:t xml:space="preserve">(revision · acceso abierto) </w:t>
      </w:r>
      <w:hyperlink r:id="rId34">
        <w:r>
          <w:rPr>
            <w:color w:val="0563C1"/>
            <w:u w:val="single"/>
            <w:sz w:val="18"/>
          </w:rPr>
          <w:t xml:space="preserve">https://doi.org/10.3390/antibiotics15090930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[r25] </w:t>
      </w:r>
      <w:r>
        <w:rPr>
          <w:sz w:val="18"/>
        </w:rPr>
        <w:t xml:space="preserve">Ceroni D, Cherkaoui A, Ferey S, Kaelin A, Schrenzel J. Kingella kingae osteoarticular infections in young children: clinical features and contribution of a new specific real-time PCR assay to the diagnosis. J Pediatr Orthop. 2010;30(3):301-4. </w:t>
      </w:r>
      <w:r>
        <w:rPr>
          <w:i/>
          <w:color w:val="5A6469"/>
          <w:sz w:val="17"/>
        </w:rPr>
        <w:t xml:space="preserve">(cohorte · acceso resumen) </w:t>
      </w:r>
      <w:hyperlink r:id="rId35">
        <w:r>
          <w:rPr>
            <w:color w:val="0563C1"/>
            <w:u w:val="single"/>
            <w:sz w:val="18"/>
          </w:rPr>
          <w:t xml:space="preserve">https://doi.org/10.1097/BPO.0b013e3181d4732f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[r26] </w:t>
      </w:r>
      <w:r>
        <w:rPr>
          <w:sz w:val="18"/>
        </w:rPr>
        <w:t xml:space="preserve">Parsons JB, Mourad A, Conlon BP, Kielian T, Fowler VG Jr. Methicillin-resistant and susceptible Staphylococcus aureus: tolerance, immune evasion and treatment. Nat Rev Microbiol. 2026;24(2):127-145. </w:t>
      </w:r>
      <w:r>
        <w:rPr>
          <w:i/>
          <w:color w:val="5A6469"/>
          <w:sz w:val="17"/>
        </w:rPr>
        <w:t xml:space="preserve">(revision · acceso abierto) </w:t>
      </w:r>
      <w:hyperlink r:id="rId12">
        <w:r>
          <w:rPr>
            <w:color w:val="0563C1"/>
            <w:u w:val="single"/>
            <w:sz w:val="18"/>
          </w:rPr>
          <w:t xml:space="preserve">https://doi.org/10.1038/s41579-025-01226-2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[r27] </w:t>
      </w:r>
      <w:r>
        <w:rPr>
          <w:sz w:val="18"/>
        </w:rPr>
        <w:t xml:space="preserve">Wu H, Yu S, Sun D, Wang S, Wang X, Fu J, et al. Clinical characteristics and risk factors of recurrence for Pseudomonas aeruginosa-associated fracture-related infection following surgical treatment : a 12-year retrospective cohort study. Bone Jt Open. 2026;7(9):1194-1203. </w:t>
      </w:r>
      <w:r>
        <w:rPr>
          <w:i/>
          <w:color w:val="5A6469"/>
          <w:sz w:val="17"/>
        </w:rPr>
        <w:t xml:space="preserve">(cohorte · acceso abierto) </w:t>
      </w:r>
      <w:hyperlink r:id="rId24">
        <w:r>
          <w:rPr>
            <w:color w:val="0563C1"/>
            <w:u w:val="single"/>
            <w:sz w:val="18"/>
          </w:rPr>
          <w:t xml:space="preserve">https://doi.org/10.1302/2633-1462.79.BJO-2026-0015.R1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[r28] </w:t>
      </w:r>
      <w:r>
        <w:rPr>
          <w:sz w:val="18"/>
        </w:rPr>
        <w:t xml:space="preserve">Olijve L, Amarasena L, Best E, Blyth C, van den Boom M, Bowen A, et al. The role of Kingella kingae in pre-school aged children with bone and joint infections. J Infect. 2021;83(3):321-331. </w:t>
      </w:r>
      <w:r>
        <w:rPr>
          <w:i/>
          <w:color w:val="5A6469"/>
          <w:sz w:val="17"/>
        </w:rPr>
        <w:t xml:space="preserve">(cohorte · acceso resumen) </w:t>
      </w:r>
      <w:hyperlink r:id="rId25">
        <w:r>
          <w:rPr>
            <w:color w:val="0563C1"/>
            <w:u w:val="single"/>
            <w:sz w:val="18"/>
          </w:rPr>
          <w:t xml:space="preserve">https://doi.org/10.1016/j.jinf.2021.06.028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[r29] </w:t>
      </w:r>
      <w:r>
        <w:rPr>
          <w:sz w:val="18"/>
        </w:rPr>
        <w:t xml:space="preserve">De Meo D, Cera G, Ceccarelli G, Castagna V, Aronica R, Pieracci EM, et al. Candida fracture-related infection: a systematic review. J Bone Jt Infect. 2021;6(7):321-328. </w:t>
      </w:r>
      <w:r>
        <w:rPr>
          <w:i/>
          <w:color w:val="5A6469"/>
          <w:sz w:val="17"/>
        </w:rPr>
        <w:t xml:space="preserve">(RS-MA · acceso abierto) </w:t>
      </w:r>
      <w:hyperlink r:id="rId26">
        <w:r>
          <w:rPr>
            <w:color w:val="0563C1"/>
            <w:u w:val="single"/>
            <w:sz w:val="18"/>
          </w:rPr>
          <w:t xml:space="preserve">https://doi.org/10.5194/jbji-6-321-2021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[r30] </w:t>
      </w:r>
      <w:r>
        <w:rPr>
          <w:sz w:val="18"/>
        </w:rPr>
        <w:t xml:space="preserve">Mamona-Kilu C, Lora-Tamayo J, McNally M, Duran C, Ho R, Scarborough M, et al. Geographical Differences in the Epidemiology and Treatment of Candida Prosthetic Joint Infections. Open Forum Infect Dis. 2026;13(4):ofag208. </w:t>
      </w:r>
      <w:r>
        <w:rPr>
          <w:i/>
          <w:color w:val="5A6469"/>
          <w:sz w:val="17"/>
        </w:rPr>
        <w:t xml:space="preserve">(cohorte · acceso abierto) </w:t>
      </w:r>
      <w:hyperlink r:id="rId27">
        <w:r>
          <w:rPr>
            <w:color w:val="0563C1"/>
            <w:u w:val="single"/>
            <w:sz w:val="18"/>
          </w:rPr>
          <w:t xml:space="preserve">https://doi.org/10.1093/ofid/ofag208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[r31] </w:t>
      </w:r>
      <w:r>
        <w:rPr>
          <w:sz w:val="18"/>
        </w:rPr>
        <w:t xml:space="preserve">Tedeschi S, Fernandez-Sampedro M, Zamparini E, Rossi N, Ferraro G, Pecorelli A, et al. Gram-negative aetiology in hip and knee prosthetic joint infections: risk factors and implications for empirical antibiotic therapy-a retrospective cohort study. JAC Antimicrob Resist. 2026;8(5):dlag206. </w:t>
      </w:r>
      <w:r>
        <w:rPr>
          <w:i/>
          <w:color w:val="5A6469"/>
          <w:sz w:val="17"/>
        </w:rPr>
        <w:t xml:space="preserve">(cohorte · acceso abierto) </w:t>
      </w:r>
      <w:hyperlink r:id="rId28">
        <w:r>
          <w:rPr>
            <w:color w:val="0563C1"/>
            <w:u w:val="single"/>
            <w:sz w:val="18"/>
          </w:rPr>
          <w:t xml:space="preserve">https://doi.org/10.1093/jacamr/dlag206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[r32] </w:t>
      </w:r>
      <w:r>
        <w:rPr>
          <w:sz w:val="18"/>
        </w:rPr>
        <w:t xml:space="preserve">Yagupsky P. Pharyngeal Colonization by Kingella kingae, Transmission, and Pathogenesis of Invasive Infections: A Narrative Review. Microorganisms. 2022;10(3):637. </w:t>
      </w:r>
      <w:r>
        <w:rPr>
          <w:i/>
          <w:color w:val="5A6469"/>
          <w:sz w:val="17"/>
        </w:rPr>
        <w:t xml:space="preserve">(revision · acceso abierto) </w:t>
      </w:r>
      <w:hyperlink r:id="rId30">
        <w:r>
          <w:rPr>
            <w:color w:val="0563C1"/>
            <w:u w:val="single"/>
            <w:sz w:val="18"/>
          </w:rPr>
          <w:t xml:space="preserve">https://doi.org/10.3390/microorganisms10030637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[r33] </w:t>
      </w:r>
      <w:r>
        <w:rPr>
          <w:sz w:val="18"/>
        </w:rPr>
        <w:t xml:space="preserve">Inaba AS, Zukin DD, Perro M. An update on the evaluation and management of plantar puncture wounds and Pseudomonas osteomyelitis. Pediatr Emerg Care. 1992;8(1):38-44. </w:t>
      </w:r>
      <w:r>
        <w:rPr>
          <w:i/>
          <w:color w:val="5A6469"/>
          <w:sz w:val="17"/>
        </w:rPr>
        <w:t xml:space="preserve">(revision · acceso resumen) </w:t>
      </w:r>
      <w:hyperlink r:id="rId36">
        <w:r>
          <w:rPr>
            <w:color w:val="0563C1"/>
            <w:u w:val="single"/>
            <w:sz w:val="18"/>
          </w:rPr>
          <w:t xml:space="preserve">https://doi.org/10.1097/00006565-199202000-00012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[r34] </w:t>
      </w:r>
      <w:r>
        <w:rPr>
          <w:sz w:val="18"/>
        </w:rPr>
        <w:t xml:space="preserve">Panzenböck LF, Scheuer R, Pallamar M, Scheider P, Krepler P. Cutibacterium acnes in elective spine surgery: a 24-year characterization of treated and untreated culture-positive patients. Spine J. 2026 Sep 12. Epub ahead of print. </w:t>
      </w:r>
      <w:r>
        <w:rPr>
          <w:i/>
          <w:color w:val="5A6469"/>
          <w:sz w:val="17"/>
        </w:rPr>
        <w:t xml:space="preserve">(cohorte · acceso resumen) </w:t>
      </w:r>
      <w:hyperlink r:id="rId37">
        <w:r>
          <w:rPr>
            <w:color w:val="0563C1"/>
            <w:u w:val="single"/>
            <w:sz w:val="18"/>
          </w:rPr>
          <w:t xml:space="preserve">https://doi.org/10.1016/j.spinee.2026.09.006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[r35] </w:t>
      </w:r>
      <w:r>
        <w:rPr>
          <w:sz w:val="18"/>
        </w:rPr>
        <w:t xml:space="preserve">Gamaletsou MN, Rammaert B, Brause B, Bueno MA, Dadwal SS, Henry MW, et al. Osteoarticular Mycoses. Clin Microbiol Rev. 2022;35(4):e0008619. </w:t>
      </w:r>
      <w:r>
        <w:rPr>
          <w:i/>
          <w:color w:val="5A6469"/>
          <w:sz w:val="17"/>
        </w:rPr>
        <w:t xml:space="preserve">(revision · acceso resumen) </w:t>
      </w:r>
      <w:hyperlink r:id="rId38">
        <w:r>
          <w:rPr>
            <w:color w:val="0563C1"/>
            <w:u w:val="single"/>
            <w:sz w:val="18"/>
          </w:rPr>
          <w:t xml:space="preserve">https://doi.org/10.1128/cmr.00086-19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[r36] </w:t>
      </w:r>
      <w:r>
        <w:rPr>
          <w:sz w:val="18"/>
        </w:rPr>
        <w:t xml:space="preserve">Trampuz A, Piper KE, Jacobson MJ, Hanssen AD, Unni KK, Osmon DR, et al. Sonication of removed hip and knee prostheses for diagnosis of infection. N Engl J Med. 2007;357(7):654-63. </w:t>
      </w:r>
      <w:r>
        <w:rPr>
          <w:i/>
          <w:color w:val="5A6469"/>
          <w:sz w:val="17"/>
        </w:rPr>
        <w:t xml:space="preserve">(cohorte · acceso resumen) </w:t>
      </w:r>
      <w:hyperlink r:id="rId47">
        <w:r>
          <w:rPr>
            <w:color w:val="0563C1"/>
            <w:u w:val="single"/>
            <w:sz w:val="18"/>
          </w:rPr>
          <w:t xml:space="preserve">https://doi.org/10.1056/NEJMoa061588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[r37] </w:t>
      </w:r>
      <w:r>
        <w:rPr>
          <w:sz w:val="18"/>
        </w:rPr>
        <w:t xml:space="preserve">Bernard L, Arvieux C, Brunschweiler B, Touchais S, Ansart S, Bru JP, et al. Antibiotic Therapy for 6 or 12 Weeks for Prosthetic Joint Infection. N Engl J Med. 2021;384(21):1991-2001. </w:t>
      </w:r>
      <w:r>
        <w:rPr>
          <w:i/>
          <w:color w:val="5A6469"/>
          <w:sz w:val="17"/>
        </w:rPr>
        <w:t xml:space="preserve">(ECA · acceso resumen) </w:t>
      </w:r>
      <w:hyperlink r:id="rId55">
        <w:r>
          <w:rPr>
            <w:color w:val="0563C1"/>
            <w:u w:val="single"/>
            <w:sz w:val="18"/>
          </w:rPr>
          <w:t xml:space="preserve">https://doi.org/10.1056/NEJMoa2020198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[r38] </w:t>
      </w:r>
      <w:r>
        <w:rPr>
          <w:sz w:val="18"/>
        </w:rPr>
        <w:t xml:space="preserve">Bernard L, Dinh A, Ghout I, Simo D, Zeller V, Issartel B, et al. Antibiotic treatment for 6 weeks versus 12 weeks in patients with pyogenic vertebral osteomyelitis: an open-label, non-inferiority, randomised, controlled trial. Lancet. 2015;385(9971):875-82. </w:t>
      </w:r>
      <w:r>
        <w:rPr>
          <w:i/>
          <w:color w:val="5A6469"/>
          <w:sz w:val="17"/>
        </w:rPr>
        <w:t xml:space="preserve">(ECA · acceso resumen) </w:t>
      </w:r>
      <w:hyperlink r:id="rId56">
        <w:r>
          <w:rPr>
            <w:color w:val="0563C1"/>
            <w:u w:val="single"/>
            <w:sz w:val="18"/>
          </w:rPr>
          <w:t xml:space="preserve">https://doi.org/10.1016/S0140-6736(14)61233-2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[r39] </w:t>
      </w:r>
      <w:r>
        <w:rPr>
          <w:sz w:val="18"/>
        </w:rPr>
        <w:t xml:space="preserve">Zimmerli W, Widmer AF, Blatter M, Frei R, Ochsner PE. Role of rifampin for treatment of orthopedic implant-related staphylococcal infections: a randomized controlled trial. Foreign-Body Infection (FBI) Study Group. JAMA. 1998;279(19):1537-41. </w:t>
      </w:r>
      <w:r>
        <w:rPr>
          <w:i/>
          <w:color w:val="5A6469"/>
          <w:sz w:val="17"/>
        </w:rPr>
        <w:t xml:space="preserve">(ECA · acceso resumen) </w:t>
      </w:r>
      <w:hyperlink r:id="rId57">
        <w:r>
          <w:rPr>
            <w:color w:val="0563C1"/>
            <w:u w:val="single"/>
            <w:sz w:val="18"/>
          </w:rPr>
          <w:t xml:space="preserve">https://doi.org/10.1001/jama.279.19.1537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[r40] </w:t>
      </w:r>
      <w:r>
        <w:rPr>
          <w:sz w:val="18"/>
        </w:rPr>
        <w:t xml:space="preserve">Rybak MJ, Le J, Lodise TP, Levine DP, Bradley JS, Liu C, et al. Therapeutic Monitoring of Vancomycin for Serious Methicillin-resistant Staphylococcus aureus Infections: A Revised Consensus Guideline and Review by the American Society of Health-system Pharmacists, the Infectious Diseases Society of America, the Pediatric Infectious Diseases Society, and the Society of Infectious Diseases Pharmacists. Clin Infect Dis. 2020;71(6):1361-1364. </w:t>
      </w:r>
      <w:r>
        <w:rPr>
          <w:i/>
          <w:color w:val="5A6469"/>
          <w:sz w:val="17"/>
        </w:rPr>
        <w:t xml:space="preserve">(guia · acceso resumen) </w:t>
      </w:r>
      <w:hyperlink r:id="rId58">
        <w:r>
          <w:rPr>
            <w:color w:val="0563C1"/>
            <w:u w:val="single"/>
            <w:sz w:val="18"/>
          </w:rPr>
          <w:t xml:space="preserve">https://doi.org/10.1093/cid/ciaa303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[r41] </w:t>
      </w:r>
      <w:r>
        <w:rPr>
          <w:sz w:val="18"/>
        </w:rPr>
        <w:t xml:space="preserve">Burdet C, Saïdani N, Dupieux C, Lemaignen A, Canouï E, Surgers L, et al. Cloxacillin versus cefazolin for meticillin-susceptible Staphylococcus aureus bacteraemia (CloCeBa): a prospective, open-label, multicentre, non-inferiority, randomised clinical trial. Lancet. 2025;406(10517):2349-2359. </w:t>
      </w:r>
      <w:r>
        <w:rPr>
          <w:i/>
          <w:color w:val="5A6469"/>
          <w:sz w:val="17"/>
        </w:rPr>
        <w:t xml:space="preserve">(ECA · acceso resumen) </w:t>
      </w:r>
      <w:hyperlink r:id="rId59">
        <w:r>
          <w:rPr>
            <w:color w:val="0563C1"/>
            <w:u w:val="single"/>
            <w:sz w:val="18"/>
          </w:rPr>
          <w:t xml:space="preserve">https://doi.org/10.1016/S0140-6736(25)01624-1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[r42] </w:t>
      </w:r>
      <w:r>
        <w:rPr>
          <w:sz w:val="18"/>
        </w:rPr>
        <w:t xml:space="preserve">Liu C, Bayer A, Cosgrove SE, Daum RS, Fridkin SK, Gorwitz RJ, et al. Clinical practice guidelines by the infectious diseases society of america for the treatment of methicillin-resistant Staphylococcus aureus infections in adults and children. Clin Infect Dis. 2011;52(3):e18-55. </w:t>
      </w:r>
      <w:r>
        <w:rPr>
          <w:i/>
          <w:color w:val="5A6469"/>
          <w:sz w:val="17"/>
        </w:rPr>
        <w:t xml:space="preserve">(guia · acceso resumen) </w:t>
      </w:r>
      <w:hyperlink r:id="rId63">
        <w:r>
          <w:rPr>
            <w:color w:val="0563C1"/>
            <w:u w:val="single"/>
            <w:sz w:val="18"/>
          </w:rPr>
          <w:t xml:space="preserve">https://doi.org/10.1093/cid/ciq146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[r43] </w:t>
      </w:r>
      <w:r>
        <w:rPr>
          <w:sz w:val="18"/>
        </w:rPr>
        <w:t xml:space="preserve">Martínez-Pastor JC, Muñoz-Mahamud E, Vilchez F, García-Ramiro S, Bori G, Sierra J, et al. Outcome of acute prosthetic joint infections due to gram-negative bacilli treated with open debridement and retention of the prosthesis. Antimicrob Agents Chemother. 2009;53(11):4772-7. </w:t>
      </w:r>
      <w:r>
        <w:rPr>
          <w:i/>
          <w:color w:val="5A6469"/>
          <w:sz w:val="17"/>
        </w:rPr>
        <w:t xml:space="preserve">(cohorte · acceso abierto) </w:t>
      </w:r>
      <w:hyperlink r:id="rId65">
        <w:r>
          <w:rPr>
            <w:color w:val="0563C1"/>
            <w:u w:val="single"/>
            <w:sz w:val="18"/>
          </w:rPr>
          <w:t xml:space="preserve">https://doi.org/10.1128/AAC.00188-09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[r44] </w:t>
      </w:r>
      <w:r>
        <w:rPr>
          <w:sz w:val="18"/>
        </w:rPr>
        <w:t xml:space="preserve">Akcicek E, Mitterer JA, Achatz V, Szirmay T, Sebastian S, Hofstaetter JG. High failure rate in Pseudomonas aeruginosa-associated periprosthetic hip and knee joint infections. J Bone Jt Infect. 2026;11(1):83-94. </w:t>
      </w:r>
      <w:r>
        <w:rPr>
          <w:i/>
          <w:color w:val="5A6469"/>
          <w:sz w:val="17"/>
        </w:rPr>
        <w:t xml:space="preserve">(cohorte · acceso abierto) </w:t>
      </w:r>
      <w:hyperlink r:id="rId66">
        <w:r>
          <w:rPr>
            <w:color w:val="0563C1"/>
            <w:u w:val="single"/>
            <w:sz w:val="18"/>
          </w:rPr>
          <w:t xml:space="preserve">https://doi.org/10.5194/jbji-11-83-2026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[r45] </w:t>
      </w:r>
      <w:r>
        <w:rPr>
          <w:sz w:val="18"/>
        </w:rPr>
        <w:t xml:space="preserve">Weninger V, Agócs G, Hergár L, Váncsa S, Hegedűs B, Szerb I, et al. 5% benzoyl peroxide is the most efficient in reducing the cutibacterium flora of the shoulder skin: a network meta-analysis. EFORT Open Rev. 2025;10(7):543-550. </w:t>
      </w:r>
      <w:r>
        <w:rPr>
          <w:i/>
          <w:color w:val="5A6469"/>
          <w:sz w:val="17"/>
        </w:rPr>
        <w:t xml:space="preserve">(RS-MA · acceso abierto) </w:t>
      </w:r>
      <w:hyperlink r:id="rId68">
        <w:r>
          <w:rPr>
            <w:color w:val="0563C1"/>
            <w:u w:val="single"/>
            <w:sz w:val="18"/>
          </w:rPr>
          <w:t xml:space="preserve">https://doi.org/10.1530/EOR-2024-0160</w:t>
        </w:r>
      </w:hyperlink>
    </w:p>
    <w:p>
      <w:pPr>
        <w:spacing w:after="60"/>
        <w:ind w:left="510" w:hanging="510"/>
      </w:pPr>
      <w:r>
        <w:rPr>
          <w:b/>
          <w:sz w:val="18"/>
        </w:rPr>
        <w:t xml:space="preserve">[r46] </w:t>
      </w:r>
      <w:r>
        <w:rPr>
          <w:sz w:val="18"/>
        </w:rPr>
        <w:t xml:space="preserve">Franceschi G, Marchi M, Dema E, Palmisani M, Aloisi P, Pellegrino M, et al. Preoperative benzoyl peroxide 5% reduces early Cutibacterium acnes-related postoperative spinal implant infections: a quasi-experimental study. Eur Spine J. 2026 Aug 20. Epub ahead of print. </w:t>
      </w:r>
      <w:r>
        <w:rPr>
          <w:i/>
          <w:color w:val="5A6469"/>
          <w:sz w:val="17"/>
        </w:rPr>
        <w:t xml:space="preserve">(cohorte · acceso resumen) </w:t>
      </w:r>
      <w:hyperlink r:id="rId69">
        <w:r>
          <w:rPr>
            <w:color w:val="0563C1"/>
            <w:u w:val="single"/>
            <w:sz w:val="18"/>
          </w:rPr>
          <w:t xml:space="preserve">https://doi.org/10.1007/s00586-026-10231-9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469"/>
        <w:sz w:val="18"/>
      </w:rPr>
      <w:t xml:space="preserve">t.cescac.com · material educativo · página </w:t>
    </w:r>
    <w:r>
      <w:fldChar w:fldCharType="begin"/>
    </w:r>
    <w:r>
      <w:instrText xml:space="preserve">PAGE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A6469"/>
        <w:sz w:val="18"/>
      </w:rPr>
      <w:t>Patógenos relevantes para el traumatólogo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="Calibri" w:hAnsi="Calibri" w:eastAsia="Calibri" w:cs="Calibri"/>
      <w:b/>
      <w:bCs/>
      <w:color w:val="0F5F6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color w:val="0F5F6B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hAnsi="Calibri" w:eastAsia="Calibri" w:cs="Calibri"/>
      <w:b/>
      <w:bCs/>
      <w:color w:val="0F5F6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hAnsi="Calibri" w:eastAsia="Calibri" w:cs="Calibri"/>
      <w:b/>
      <w:color w:val="0F5F6B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i.org/10.1128/CMR.00134-14" TargetMode="External"/><Relationship Id="rId12" Type="http://schemas.openxmlformats.org/officeDocument/2006/relationships/hyperlink" Target="https://doi.org/10.1038/s41579-025-01226-2" TargetMode="External"/><Relationship Id="rId13" Type="http://schemas.openxmlformats.org/officeDocument/2006/relationships/image" Target="media/image1.png"/><Relationship Id="rId14" Type="http://schemas.openxmlformats.org/officeDocument/2006/relationships/hyperlink" Target="https://doi.org/10.1056/NEJMoa1710926" TargetMode="External"/><Relationship Id="rId15" Type="http://schemas.openxmlformats.org/officeDocument/2006/relationships/hyperlink" Target="https://doi.org/10.1097/BOT.0000000000001626" TargetMode="External"/><Relationship Id="rId16" Type="http://schemas.openxmlformats.org/officeDocument/2006/relationships/hyperlink" Target="https://doi.org/10.3238/arztebl.2015.0433" TargetMode="External"/><Relationship Id="rId17" Type="http://schemas.openxmlformats.org/officeDocument/2006/relationships/hyperlink" Target="https://doi.org/10.1128/CMR.00028-14" TargetMode="External"/><Relationship Id="rId18" Type="http://schemas.openxmlformats.org/officeDocument/2006/relationships/hyperlink" Target="https://doi.org/10.1302/0301-620X.103B1.BJJ-2020-1381.R1" TargetMode="External"/><Relationship Id="rId19" Type="http://schemas.openxmlformats.org/officeDocument/2006/relationships/hyperlink" Target="https://doi.org/10.1080/1040841X.2026.2709521" TargetMode="External"/><Relationship Id="rId20" Type="http://schemas.openxmlformats.org/officeDocument/2006/relationships/hyperlink" Target="https://doi.org/10.1155/ijm/5244269" TargetMode="External"/><Relationship Id="rId21" Type="http://schemas.openxmlformats.org/officeDocument/2006/relationships/hyperlink" Target="https://doi.org/10.1017/ash.2026.10755" TargetMode="External"/><Relationship Id="rId22" Type="http://schemas.openxmlformats.org/officeDocument/2006/relationships/hyperlink" Target="https://doi.org/10.1128/CMR.00109-13" TargetMode="External"/><Relationship Id="rId23" Type="http://schemas.openxmlformats.org/officeDocument/2006/relationships/hyperlink" Target="https://doi.org/10.3390/antibiotics15090872" TargetMode="External"/><Relationship Id="rId24" Type="http://schemas.openxmlformats.org/officeDocument/2006/relationships/hyperlink" Target="https://doi.org/10.1302/2633-1462.79.BJO-2026-0015.R1" TargetMode="External"/><Relationship Id="rId25" Type="http://schemas.openxmlformats.org/officeDocument/2006/relationships/hyperlink" Target="https://doi.org/10.1016/j.jinf.2021.06.028" TargetMode="External"/><Relationship Id="rId26" Type="http://schemas.openxmlformats.org/officeDocument/2006/relationships/hyperlink" Target="https://doi.org/10.5194/jbji-6-321-2021" TargetMode="External"/><Relationship Id="rId27" Type="http://schemas.openxmlformats.org/officeDocument/2006/relationships/hyperlink" Target="https://doi.org/10.1093/ofid/ofag208" TargetMode="External"/><Relationship Id="rId28" Type="http://schemas.openxmlformats.org/officeDocument/2006/relationships/hyperlink" Target="https://doi.org/10.1093/jacamr/dlag206" TargetMode="External"/><Relationship Id="rId29" Type="http://schemas.openxmlformats.org/officeDocument/2006/relationships/hyperlink" Target="https://doi.org/10.1128/CMR.00092-13" TargetMode="External"/><Relationship Id="rId30" Type="http://schemas.openxmlformats.org/officeDocument/2006/relationships/hyperlink" Target="https://doi.org/10.3390/microorganisms10030637" TargetMode="External"/><Relationship Id="rId31" Type="http://schemas.openxmlformats.org/officeDocument/2006/relationships/hyperlink" Target="https://doi.org/10.1093/jacamr/dlaa114" TargetMode="External"/><Relationship Id="rId32" Type="http://schemas.openxmlformats.org/officeDocument/2006/relationships/hyperlink" Target="https://doi.org/10.1056/NEJM199901143400202" TargetMode="External"/><Relationship Id="rId33" Type="http://schemas.openxmlformats.org/officeDocument/2006/relationships/hyperlink" Target="https://doi.org/10.1093/cid/civ933" TargetMode="External"/><Relationship Id="rId34" Type="http://schemas.openxmlformats.org/officeDocument/2006/relationships/hyperlink" Target="https://doi.org/10.3390/antibiotics15090930" TargetMode="External"/><Relationship Id="rId35" Type="http://schemas.openxmlformats.org/officeDocument/2006/relationships/hyperlink" Target="https://doi.org/10.1097/BPO.0b013e3181d4732f" TargetMode="External"/><Relationship Id="rId36" Type="http://schemas.openxmlformats.org/officeDocument/2006/relationships/hyperlink" Target="https://doi.org/10.1097/00006565-199202000-00012" TargetMode="External"/><Relationship Id="rId37" Type="http://schemas.openxmlformats.org/officeDocument/2006/relationships/hyperlink" Target="https://doi.org/10.1016/j.spinee.2026.09.006" TargetMode="External"/><Relationship Id="rId38" Type="http://schemas.openxmlformats.org/officeDocument/2006/relationships/hyperlink" Target="https://doi.org/10.1128/cmr.00086-19" TargetMode="External"/><Relationship Id="rId39" Type="http://schemas.openxmlformats.org/officeDocument/2006/relationships/image" Target="media/image2.png"/><Relationship Id="rId40" Type="http://schemas.openxmlformats.org/officeDocument/2006/relationships/image" Target="media/image3.png"/><Relationship Id="rId41" Type="http://schemas.openxmlformats.org/officeDocument/2006/relationships/image" Target="media/image4.png"/><Relationship Id="rId42" Type="http://schemas.openxmlformats.org/officeDocument/2006/relationships/hyperlink" Target="https://doi.org/10.1097/BOT.0000000000001614" TargetMode="External"/><Relationship Id="rId43" Type="http://schemas.openxmlformats.org/officeDocument/2006/relationships/hyperlink" Target="https://doi.org/10.1128/jcm.00986-25" TargetMode="External"/><Relationship Id="rId44" Type="http://schemas.openxmlformats.org/officeDocument/2006/relationships/hyperlink" Target="https://doi.org/10.1016/j.injury.2017.08.040" TargetMode="External"/><Relationship Id="rId45" Type="http://schemas.openxmlformats.org/officeDocument/2006/relationships/hyperlink" Target="https://doi.org/10.1007/s11999-013-3016-5" TargetMode="External"/><Relationship Id="rId46" Type="http://schemas.openxmlformats.org/officeDocument/2006/relationships/hyperlink" Target="https://doi.org/10.5194/jbji-11-555-2026" TargetMode="External"/><Relationship Id="rId47" Type="http://schemas.openxmlformats.org/officeDocument/2006/relationships/hyperlink" Target="https://doi.org/10.1056/NEJMoa061588" TargetMode="External"/><Relationship Id="rId48" Type="http://schemas.openxmlformats.org/officeDocument/2006/relationships/image" Target="media/image5.png"/><Relationship Id="rId49" Type="http://schemas.openxmlformats.org/officeDocument/2006/relationships/image" Target="media/image6.png"/><Relationship Id="rId50" Type="http://schemas.openxmlformats.org/officeDocument/2006/relationships/image" Target="media/image7.png"/><Relationship Id="rId51" Type="http://schemas.openxmlformats.org/officeDocument/2006/relationships/image" Target="media/image8.png"/><Relationship Id="rId52" Type="http://schemas.openxmlformats.org/officeDocument/2006/relationships/image" Target="media/image9.png"/><Relationship Id="rId53" Type="http://schemas.openxmlformats.org/officeDocument/2006/relationships/hyperlink" Target="https://doi.org/10.1016/S0140-6736(17)32456-X" TargetMode="External"/><Relationship Id="rId54" Type="http://schemas.openxmlformats.org/officeDocument/2006/relationships/hyperlink" Target="https://doi.org/10.1056/NEJMoa2506905" TargetMode="External"/><Relationship Id="rId55" Type="http://schemas.openxmlformats.org/officeDocument/2006/relationships/hyperlink" Target="https://doi.org/10.1056/NEJMoa2020198" TargetMode="External"/><Relationship Id="rId56" Type="http://schemas.openxmlformats.org/officeDocument/2006/relationships/hyperlink" Target="https://doi.org/10.1016/S0140-6736(14)61233-2" TargetMode="External"/><Relationship Id="rId57" Type="http://schemas.openxmlformats.org/officeDocument/2006/relationships/hyperlink" Target="https://doi.org/10.1001/jama.279.19.1537" TargetMode="External"/><Relationship Id="rId58" Type="http://schemas.openxmlformats.org/officeDocument/2006/relationships/hyperlink" Target="https://doi.org/10.1093/cid/ciaa303" TargetMode="External"/><Relationship Id="rId59" Type="http://schemas.openxmlformats.org/officeDocument/2006/relationships/hyperlink" Target="https://doi.org/10.1016/S0140-6736(25)01624-1" TargetMode="External"/><Relationship Id="rId60" Type="http://schemas.openxmlformats.org/officeDocument/2006/relationships/image" Target="media/image10.png"/><Relationship Id="rId61" Type="http://schemas.openxmlformats.org/officeDocument/2006/relationships/image" Target="media/image11.png"/><Relationship Id="rId62" Type="http://schemas.openxmlformats.org/officeDocument/2006/relationships/image" Target="media/image12.png"/><Relationship Id="rId63" Type="http://schemas.openxmlformats.org/officeDocument/2006/relationships/hyperlink" Target="https://doi.org/10.1093/cid/ciq146" TargetMode="External"/><Relationship Id="rId64" Type="http://schemas.openxmlformats.org/officeDocument/2006/relationships/image" Target="media/image13.png"/><Relationship Id="rId65" Type="http://schemas.openxmlformats.org/officeDocument/2006/relationships/hyperlink" Target="https://doi.org/10.1128/AAC.00188-09" TargetMode="External"/><Relationship Id="rId66" Type="http://schemas.openxmlformats.org/officeDocument/2006/relationships/hyperlink" Target="https://doi.org/10.5194/jbji-11-83-2026" TargetMode="External"/><Relationship Id="rId67" Type="http://schemas.openxmlformats.org/officeDocument/2006/relationships/image" Target="media/image14.png"/><Relationship Id="rId68" Type="http://schemas.openxmlformats.org/officeDocument/2006/relationships/hyperlink" Target="https://doi.org/10.1530/EOR-2024-0160" TargetMode="External"/><Relationship Id="rId69" Type="http://schemas.openxmlformats.org/officeDocument/2006/relationships/hyperlink" Target="https://doi.org/10.1007/s00586-026-10231-9" TargetMode="External"/><Relationship Id="rId70" Type="http://schemas.openxmlformats.org/officeDocument/2006/relationships/image" Target="media/image15.png"/><Relationship Id="rId71" Type="http://schemas.openxmlformats.org/officeDocument/2006/relationships/hyperlink" Target="https://doi.org/10.1002/14651858.CD001738" TargetMode="External"/><Relationship Id="rId72" Type="http://schemas.openxmlformats.org/officeDocument/2006/relationships/image" Target="media/image16.png"/><Relationship Id="rId73" Type="http://schemas.openxmlformats.org/officeDocument/2006/relationships/image" Target="media/image17.png"/><Relationship Id="rId74" Type="http://schemas.openxmlformats.org/officeDocument/2006/relationships/image" Target="media/image18.png"/><Relationship Id="rId75" Type="http://schemas.openxmlformats.org/officeDocument/2006/relationships/image" Target="media/image19.png"/><Relationship Id="rId76" Type="http://schemas.openxmlformats.org/officeDocument/2006/relationships/hyperlink" Target="https://surgeryreference.aofoundation.org/orthopedic-trauma/adult-trauma" TargetMode="External"/><Relationship Id="rId77" Type="http://schemas.openxmlformats.org/officeDocument/2006/relationships/hyperlink" Target="https://surgeryreference.aofoundation.org/orthopedic-trauma/pediatric-trauma" TargetMode="External"/><Relationship Id="rId78" Type="http://schemas.openxmlformats.org/officeDocument/2006/relationships/hyperlink" Target="https://surgeryreference.aofoundation.org/spine" TargetMode="External"/><Relationship Id="rId79" Type="http://schemas.openxmlformats.org/officeDocument/2006/relationships/hyperlink" Target="https://www.nice.org.uk/guidance/ng184" TargetMode="External"/><Relationship Id="rId80" Type="http://schemas.openxmlformats.org/officeDocument/2006/relationships/hyperlink" Target="https://pmc.ncbi.nlm.nih.gov/articles/PMC6903362/" TargetMode="External"/><Relationship Id="rId81" Type="http://schemas.openxmlformats.org/officeDocument/2006/relationships/hyperlink" Target="https://pmc.ncbi.nlm.nih.gov/articles/PMC6903359/" TargetMode="External"/><Relationship Id="rId82" Type="http://schemas.openxmlformats.org/officeDocument/2006/relationships/hyperlink" Target="https://pmc.ncbi.nlm.nih.gov/articles/PMC7954183/" TargetMode="External"/><Relationship Id="rId83" Type="http://schemas.openxmlformats.org/officeDocument/2006/relationships/hyperlink" Target="https://pmc.ncbi.nlm.nih.gov/articles/PMC8210269/" TargetMode="External"/><Relationship Id="rId84" Type="http://schemas.openxmlformats.org/officeDocument/2006/relationships/hyperlink" Target="https://pmc.ncbi.nlm.nih.gov/articles/PMC6522347/" TargetMode="External"/><Relationship Id="rId85" Type="http://schemas.openxmlformats.org/officeDocument/2006/relationships/hyperlink" Target="https://pmc.ncbi.nlm.nih.gov/articles/PMC4725385/" TargetMode="External"/><Relationship Id="rId86" Type="http://schemas.openxmlformats.org/officeDocument/2006/relationships/hyperlink" Target="https://www.youtube.com/watch?v=cD6ao-86kUM" TargetMode="External"/><Relationship Id="rId87" Type="http://schemas.openxmlformats.org/officeDocument/2006/relationships/hyperlink" Target="https://www.youtube.com/watch?v=IYQYDS0JqWE" TargetMode="External"/><Relationship Id="rId88" Type="http://schemas.openxmlformats.org/officeDocument/2006/relationships/hyperlink" Target="https://www.youtube.com/watch?v=gSyEd7Nd2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Patógenos relevantes para el traumatólogo</dc:title>
  <dc:subject>Revisión bibliográfica</dc:subject>
  <dc:creator>Biblioteca de Traumatología y Ortopedia · t.cescac.com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